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21A" w:rsidRPr="004C0844" w:rsidRDefault="000F3988" w:rsidP="004C084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4C0844">
        <w:rPr>
          <w:b/>
          <w:bCs/>
          <w:color w:val="000000"/>
          <w:sz w:val="28"/>
          <w:szCs w:val="28"/>
        </w:rPr>
        <w:t xml:space="preserve"> </w:t>
      </w:r>
      <w:r w:rsidR="004E021A" w:rsidRPr="004C0844">
        <w:rPr>
          <w:b/>
          <w:bCs/>
          <w:color w:val="000000"/>
          <w:sz w:val="28"/>
          <w:szCs w:val="28"/>
        </w:rPr>
        <w:t>«Использование наглядно-дидактического материала в развитии словесно-логического мышления детей старшего дошкольного возраста с ОНР 3 уровня»</w:t>
      </w:r>
    </w:p>
    <w:p w:rsidR="004E021A" w:rsidRPr="004C0844" w:rsidRDefault="004E021A" w:rsidP="00B34905">
      <w:pPr>
        <w:pStyle w:val="Default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C0844">
        <w:rPr>
          <w:sz w:val="28"/>
          <w:szCs w:val="28"/>
          <w:lang w:val="ru-RU"/>
        </w:rPr>
        <w:t>Старший дошкольный возраст характеризуется наличием огромного числа резервов в развитии мышления. Период подготовки к переходу из дошкольного образовательного учреждения в среднюю общеобразовательную школу обуславливается влиянием процесса непосредственного обучения в детском саду. Следует заметить, что на сегодняшний момент существует огромное количество различных методов и подходов к формированию словесно-логического мышления старших дошкольников. При этом, в современной действительности отмечается рост числа детей, обладающих общим недоразвитием речи. К вопросам общего недоразвития речи в своих исследованиях обращались многие ученые, среди которых В.И.</w:t>
      </w:r>
      <w:r w:rsidR="00B34905" w:rsidRPr="00B34905">
        <w:rPr>
          <w:sz w:val="28"/>
          <w:szCs w:val="28"/>
          <w:lang w:val="ru-RU"/>
        </w:rPr>
        <w:t xml:space="preserve"> </w:t>
      </w:r>
      <w:r w:rsidRPr="004C0844">
        <w:rPr>
          <w:sz w:val="28"/>
          <w:szCs w:val="28"/>
          <w:lang w:val="ru-RU"/>
        </w:rPr>
        <w:t xml:space="preserve">Селиверстов, С.Н. Шаховская, Т.Б. Филичева, Н.А. </w:t>
      </w:r>
      <w:proofErr w:type="spellStart"/>
      <w:r w:rsidRPr="004C0844">
        <w:rPr>
          <w:sz w:val="28"/>
          <w:szCs w:val="28"/>
          <w:lang w:val="ru-RU"/>
        </w:rPr>
        <w:t>Чевелева</w:t>
      </w:r>
      <w:proofErr w:type="spellEnd"/>
      <w:r w:rsidRPr="004C0844">
        <w:rPr>
          <w:sz w:val="28"/>
          <w:szCs w:val="28"/>
          <w:lang w:val="ru-RU"/>
        </w:rPr>
        <w:t>, Г.В. Чиркина Р.А. Белова, И.Т. Власенко, Т.Н. В</w:t>
      </w:r>
      <w:r w:rsidRPr="004C0844">
        <w:rPr>
          <w:sz w:val="28"/>
          <w:szCs w:val="28"/>
        </w:rPr>
        <w:t>o</w:t>
      </w:r>
      <w:proofErr w:type="spellStart"/>
      <w:r w:rsidRPr="004C0844">
        <w:rPr>
          <w:sz w:val="28"/>
          <w:szCs w:val="28"/>
          <w:lang w:val="ru-RU"/>
        </w:rPr>
        <w:t>лковская</w:t>
      </w:r>
      <w:proofErr w:type="spellEnd"/>
      <w:r w:rsidRPr="004C0844">
        <w:rPr>
          <w:sz w:val="28"/>
          <w:szCs w:val="28"/>
          <w:lang w:val="ru-RU"/>
        </w:rPr>
        <w:t xml:space="preserve">, Г.В. </w:t>
      </w:r>
      <w:proofErr w:type="spellStart"/>
      <w:r w:rsidRPr="004C0844">
        <w:rPr>
          <w:sz w:val="28"/>
          <w:szCs w:val="28"/>
          <w:lang w:val="ru-RU"/>
        </w:rPr>
        <w:t>Гур</w:t>
      </w:r>
      <w:proofErr w:type="spellEnd"/>
      <w:r w:rsidRPr="004C0844">
        <w:rPr>
          <w:sz w:val="28"/>
          <w:szCs w:val="28"/>
        </w:rPr>
        <w:t>o</w:t>
      </w:r>
      <w:proofErr w:type="spellStart"/>
      <w:r w:rsidRPr="004C0844">
        <w:rPr>
          <w:sz w:val="28"/>
          <w:szCs w:val="28"/>
          <w:lang w:val="ru-RU"/>
        </w:rPr>
        <w:t>вец</w:t>
      </w:r>
      <w:proofErr w:type="spellEnd"/>
      <w:r w:rsidRPr="004C0844">
        <w:rPr>
          <w:sz w:val="28"/>
          <w:szCs w:val="28"/>
          <w:lang w:val="ru-RU"/>
        </w:rPr>
        <w:t xml:space="preserve">, Н.С. Жукова, А.Н. Корнев, Р.Е. Левина, Е.М. </w:t>
      </w:r>
      <w:proofErr w:type="spellStart"/>
      <w:r w:rsidRPr="004C0844">
        <w:rPr>
          <w:sz w:val="28"/>
          <w:szCs w:val="28"/>
          <w:lang w:val="ru-RU"/>
        </w:rPr>
        <w:t>Мастюкова</w:t>
      </w:r>
      <w:proofErr w:type="spellEnd"/>
      <w:r w:rsidRPr="004C0844">
        <w:rPr>
          <w:sz w:val="28"/>
          <w:szCs w:val="28"/>
          <w:lang w:val="ru-RU"/>
        </w:rPr>
        <w:t xml:space="preserve">, Т.В. Нестерова, Т.С. Овчинникова, В.М. Тарновский, Н.Н. </w:t>
      </w:r>
      <w:proofErr w:type="spellStart"/>
      <w:r w:rsidRPr="004C0844">
        <w:rPr>
          <w:sz w:val="28"/>
          <w:szCs w:val="28"/>
          <w:lang w:val="ru-RU"/>
        </w:rPr>
        <w:t>Трауг</w:t>
      </w:r>
      <w:proofErr w:type="spellEnd"/>
      <w:r w:rsidRPr="004C0844">
        <w:rPr>
          <w:sz w:val="28"/>
          <w:szCs w:val="28"/>
        </w:rPr>
        <w:t>o</w:t>
      </w:r>
      <w:proofErr w:type="spellStart"/>
      <w:r w:rsidRPr="004C0844">
        <w:rPr>
          <w:sz w:val="28"/>
          <w:szCs w:val="28"/>
          <w:lang w:val="ru-RU"/>
        </w:rPr>
        <w:t>тт</w:t>
      </w:r>
      <w:proofErr w:type="spellEnd"/>
      <w:r w:rsidRPr="004C0844">
        <w:rPr>
          <w:sz w:val="28"/>
          <w:szCs w:val="28"/>
          <w:lang w:val="ru-RU"/>
        </w:rPr>
        <w:t>, О.Н. Усанова, Т.А. Ф</w:t>
      </w:r>
      <w:r w:rsidRPr="004C0844">
        <w:rPr>
          <w:sz w:val="28"/>
          <w:szCs w:val="28"/>
        </w:rPr>
        <w:t>o</w:t>
      </w:r>
      <w:proofErr w:type="spellStart"/>
      <w:r w:rsidRPr="004C0844">
        <w:rPr>
          <w:sz w:val="28"/>
          <w:szCs w:val="28"/>
          <w:lang w:val="ru-RU"/>
        </w:rPr>
        <w:t>текова</w:t>
      </w:r>
      <w:proofErr w:type="spellEnd"/>
      <w:r w:rsidRPr="004C0844">
        <w:rPr>
          <w:sz w:val="28"/>
          <w:szCs w:val="28"/>
          <w:lang w:val="ru-RU"/>
        </w:rPr>
        <w:t xml:space="preserve">, М.Е. </w:t>
      </w:r>
      <w:proofErr w:type="spellStart"/>
      <w:r w:rsidRPr="004C0844">
        <w:rPr>
          <w:sz w:val="28"/>
          <w:szCs w:val="28"/>
          <w:lang w:val="ru-RU"/>
        </w:rPr>
        <w:t>Хватцев</w:t>
      </w:r>
      <w:proofErr w:type="spellEnd"/>
      <w:r w:rsidRPr="004C0844">
        <w:rPr>
          <w:sz w:val="28"/>
          <w:szCs w:val="28"/>
          <w:lang w:val="ru-RU"/>
        </w:rPr>
        <w:t xml:space="preserve"> и другие. При этом, важным аспектом развития речи является изучение проблем формирования и развития детского мышления. Этим вопросам посвятили свои работы такие исследователи, как В.И. </w:t>
      </w:r>
      <w:proofErr w:type="spellStart"/>
      <w:r w:rsidRPr="004C0844">
        <w:rPr>
          <w:sz w:val="28"/>
          <w:szCs w:val="28"/>
          <w:lang w:val="ru-RU"/>
        </w:rPr>
        <w:t>Лубовский</w:t>
      </w:r>
      <w:proofErr w:type="spellEnd"/>
      <w:r w:rsidRPr="004C0844">
        <w:rPr>
          <w:sz w:val="28"/>
          <w:szCs w:val="28"/>
          <w:lang w:val="ru-RU"/>
        </w:rPr>
        <w:t xml:space="preserve">, Г.Б. </w:t>
      </w:r>
      <w:proofErr w:type="spellStart"/>
      <w:r w:rsidRPr="004C0844">
        <w:rPr>
          <w:sz w:val="28"/>
          <w:szCs w:val="28"/>
          <w:lang w:val="ru-RU"/>
        </w:rPr>
        <w:t>Шаумарова</w:t>
      </w:r>
      <w:proofErr w:type="spellEnd"/>
      <w:r w:rsidRPr="004C0844">
        <w:rPr>
          <w:sz w:val="28"/>
          <w:szCs w:val="28"/>
          <w:lang w:val="ru-RU"/>
        </w:rPr>
        <w:t xml:space="preserve">, И.Н. </w:t>
      </w:r>
      <w:proofErr w:type="spellStart"/>
      <w:r w:rsidRPr="004C0844">
        <w:rPr>
          <w:sz w:val="28"/>
          <w:szCs w:val="28"/>
          <w:lang w:val="ru-RU"/>
        </w:rPr>
        <w:t>Брокане</w:t>
      </w:r>
      <w:proofErr w:type="spellEnd"/>
      <w:r w:rsidRPr="004C0844">
        <w:rPr>
          <w:sz w:val="28"/>
          <w:szCs w:val="28"/>
          <w:lang w:val="ru-RU"/>
        </w:rPr>
        <w:t xml:space="preserve">, Т.В. Егорова, С.А. </w:t>
      </w:r>
      <w:proofErr w:type="spellStart"/>
      <w:r w:rsidRPr="004C0844">
        <w:rPr>
          <w:sz w:val="28"/>
          <w:szCs w:val="28"/>
          <w:lang w:val="ru-RU"/>
        </w:rPr>
        <w:t>Домишкевич</w:t>
      </w:r>
      <w:proofErr w:type="spellEnd"/>
      <w:r w:rsidRPr="004C0844">
        <w:rPr>
          <w:sz w:val="28"/>
          <w:szCs w:val="28"/>
          <w:lang w:val="ru-RU"/>
        </w:rPr>
        <w:t xml:space="preserve">. Л.В. </w:t>
      </w:r>
      <w:proofErr w:type="spellStart"/>
      <w:r w:rsidRPr="004C0844">
        <w:rPr>
          <w:sz w:val="28"/>
          <w:szCs w:val="28"/>
          <w:lang w:val="ru-RU"/>
        </w:rPr>
        <w:t>Занков</w:t>
      </w:r>
      <w:proofErr w:type="spellEnd"/>
      <w:r w:rsidRPr="004C0844">
        <w:rPr>
          <w:sz w:val="28"/>
          <w:szCs w:val="28"/>
          <w:lang w:val="ru-RU"/>
        </w:rPr>
        <w:t xml:space="preserve">, Д.Б. Эльконин, В.С. Мухина, Л.И. </w:t>
      </w:r>
      <w:proofErr w:type="spellStart"/>
      <w:r w:rsidRPr="004C0844">
        <w:rPr>
          <w:sz w:val="28"/>
          <w:szCs w:val="28"/>
          <w:lang w:val="ru-RU"/>
        </w:rPr>
        <w:t>Божович</w:t>
      </w:r>
      <w:proofErr w:type="spellEnd"/>
      <w:r w:rsidRPr="004C0844">
        <w:rPr>
          <w:sz w:val="28"/>
          <w:szCs w:val="28"/>
          <w:lang w:val="ru-RU"/>
        </w:rPr>
        <w:t xml:space="preserve">. </w:t>
      </w:r>
    </w:p>
    <w:p w:rsidR="004E021A" w:rsidRPr="00B34905" w:rsidRDefault="004E021A" w:rsidP="004C084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4C0844">
        <w:rPr>
          <w:sz w:val="28"/>
          <w:szCs w:val="28"/>
          <w:lang w:val="ru-RU"/>
        </w:rPr>
        <w:t>Не является секретом, что мышление и речь человека неразрывно связаны, исходя из этого, можно прийти к выводу, что недостаточное развити</w:t>
      </w:r>
      <w:r w:rsidR="00B34905">
        <w:rPr>
          <w:sz w:val="28"/>
          <w:szCs w:val="28"/>
          <w:lang w:val="ru-RU"/>
        </w:rPr>
        <w:t>е</w:t>
      </w:r>
      <w:r w:rsidRPr="004C0844">
        <w:rPr>
          <w:sz w:val="28"/>
          <w:szCs w:val="28"/>
          <w:lang w:val="ru-RU"/>
        </w:rPr>
        <w:t xml:space="preserve"> различных видов мышления вызыва</w:t>
      </w:r>
      <w:r w:rsidR="00B34905">
        <w:rPr>
          <w:sz w:val="28"/>
          <w:szCs w:val="28"/>
          <w:lang w:val="ru-RU"/>
        </w:rPr>
        <w:t>е</w:t>
      </w:r>
      <w:r w:rsidRPr="004C0844">
        <w:rPr>
          <w:sz w:val="28"/>
          <w:szCs w:val="28"/>
          <w:lang w:val="ru-RU"/>
        </w:rPr>
        <w:t xml:space="preserve">т проблемы овладения речью как высшей формы нервной деятельности дошкольника. </w:t>
      </w:r>
    </w:p>
    <w:p w:rsidR="00751432" w:rsidRPr="00B34905" w:rsidRDefault="004E021A" w:rsidP="00B34905">
      <w:pPr>
        <w:pStyle w:val="Default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C0844">
        <w:rPr>
          <w:color w:val="auto"/>
          <w:sz w:val="28"/>
          <w:szCs w:val="28"/>
          <w:lang w:val="ru-RU"/>
        </w:rPr>
        <w:t xml:space="preserve">Актуальность выдвигаемой для рассмотрения проблемы формируется посредством изучения словесно-логического мышления старших дошкольников, что имеет как теоретическое, так и практическое значение.  </w:t>
      </w:r>
      <w:r w:rsidR="00B34905">
        <w:rPr>
          <w:color w:val="auto"/>
          <w:sz w:val="28"/>
          <w:szCs w:val="28"/>
          <w:lang w:val="ru-RU"/>
        </w:rPr>
        <w:t xml:space="preserve">Общепризнанным является положение об использовании разнообразного </w:t>
      </w:r>
      <w:r w:rsidR="00B34905">
        <w:rPr>
          <w:color w:val="auto"/>
          <w:sz w:val="28"/>
          <w:szCs w:val="28"/>
          <w:lang w:val="ru-RU"/>
        </w:rPr>
        <w:lastRenderedPageBreak/>
        <w:t>наглядного материала для работы с детьми дошкольного возраста</w:t>
      </w:r>
      <w:r w:rsidR="00B34905" w:rsidRPr="00B34905">
        <w:rPr>
          <w:color w:val="auto"/>
          <w:sz w:val="28"/>
          <w:szCs w:val="28"/>
          <w:lang w:val="ru-RU"/>
        </w:rPr>
        <w:t xml:space="preserve"> </w:t>
      </w:r>
      <w:r w:rsidR="00B34905">
        <w:rPr>
          <w:color w:val="auto"/>
          <w:sz w:val="28"/>
          <w:szCs w:val="28"/>
          <w:lang w:val="ru-RU"/>
        </w:rPr>
        <w:t xml:space="preserve">с учетом особенностей развития мышления ребенка. В связи с этим в качестве </w:t>
      </w:r>
      <w:r w:rsidR="00B34905" w:rsidRPr="00B34905">
        <w:rPr>
          <w:color w:val="auto"/>
          <w:sz w:val="28"/>
          <w:szCs w:val="28"/>
          <w:lang w:val="ru-RU"/>
        </w:rPr>
        <w:t>п</w:t>
      </w:r>
      <w:r w:rsidR="00751432" w:rsidRPr="00B34905">
        <w:rPr>
          <w:sz w:val="28"/>
          <w:szCs w:val="28"/>
          <w:lang w:val="ru-RU"/>
        </w:rPr>
        <w:t>редмет</w:t>
      </w:r>
      <w:r w:rsidR="00B34905" w:rsidRPr="00B34905">
        <w:rPr>
          <w:sz w:val="28"/>
          <w:szCs w:val="28"/>
          <w:lang w:val="ru-RU"/>
        </w:rPr>
        <w:t>а</w:t>
      </w:r>
      <w:r w:rsidR="00751432" w:rsidRPr="00B34905">
        <w:rPr>
          <w:sz w:val="28"/>
          <w:szCs w:val="28"/>
          <w:lang w:val="ru-RU"/>
        </w:rPr>
        <w:t xml:space="preserve"> исследования </w:t>
      </w:r>
      <w:r w:rsidR="00B34905">
        <w:rPr>
          <w:sz w:val="28"/>
          <w:szCs w:val="28"/>
          <w:lang w:val="ru-RU"/>
        </w:rPr>
        <w:t>нами выбран</w:t>
      </w:r>
      <w:r w:rsidR="00751432" w:rsidRPr="00B34905">
        <w:rPr>
          <w:sz w:val="28"/>
          <w:szCs w:val="28"/>
          <w:lang w:val="ru-RU"/>
        </w:rPr>
        <w:t xml:space="preserve"> </w:t>
      </w:r>
      <w:r w:rsidR="00751432" w:rsidRPr="00B34905">
        <w:rPr>
          <w:bCs/>
          <w:sz w:val="28"/>
          <w:szCs w:val="28"/>
          <w:lang w:val="ru-RU"/>
        </w:rPr>
        <w:t xml:space="preserve">наглядно-дидактический материал </w:t>
      </w:r>
      <w:r w:rsidR="00751432" w:rsidRPr="00B34905">
        <w:rPr>
          <w:sz w:val="28"/>
          <w:szCs w:val="28"/>
          <w:lang w:val="ru-RU"/>
        </w:rPr>
        <w:t>как средство развития словесно - логического мышления у детей старшего дошкольного возраста с общим недоразвитием речи.</w:t>
      </w:r>
    </w:p>
    <w:p w:rsidR="00751432" w:rsidRPr="004C0844" w:rsidRDefault="00751432" w:rsidP="004C084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34905">
        <w:rPr>
          <w:color w:val="000000"/>
          <w:sz w:val="28"/>
          <w:szCs w:val="28"/>
        </w:rPr>
        <w:t xml:space="preserve">Цель </w:t>
      </w:r>
      <w:r w:rsidRPr="004C0844">
        <w:rPr>
          <w:color w:val="000000"/>
          <w:sz w:val="28"/>
          <w:szCs w:val="28"/>
        </w:rPr>
        <w:t xml:space="preserve">исследования: теоретическое обоснование и экспериментальная проверка </w:t>
      </w:r>
      <w:r w:rsidR="00B34905">
        <w:rPr>
          <w:color w:val="000000"/>
          <w:sz w:val="28"/>
          <w:szCs w:val="28"/>
        </w:rPr>
        <w:t xml:space="preserve">динамики </w:t>
      </w:r>
      <w:r w:rsidRPr="004C0844">
        <w:rPr>
          <w:color w:val="000000"/>
          <w:sz w:val="28"/>
          <w:szCs w:val="28"/>
        </w:rPr>
        <w:t xml:space="preserve">развития словесно - логического мышления у детей старшего дошкольного возраста с общим недоразвитием речи </w:t>
      </w:r>
      <w:r w:rsidRPr="004C0844">
        <w:rPr>
          <w:color w:val="000000"/>
          <w:sz w:val="28"/>
          <w:szCs w:val="28"/>
          <w:lang w:val="en-US"/>
        </w:rPr>
        <w:t>III</w:t>
      </w:r>
      <w:r w:rsidRPr="004C0844">
        <w:rPr>
          <w:color w:val="000000"/>
          <w:sz w:val="28"/>
          <w:szCs w:val="28"/>
        </w:rPr>
        <w:t xml:space="preserve"> уровня средствами </w:t>
      </w:r>
      <w:r w:rsidRPr="004C0844">
        <w:rPr>
          <w:bCs/>
          <w:color w:val="000000"/>
          <w:sz w:val="28"/>
          <w:szCs w:val="28"/>
        </w:rPr>
        <w:t>наглядно-дидактического материала</w:t>
      </w:r>
      <w:r w:rsidRPr="004C0844">
        <w:rPr>
          <w:color w:val="000000"/>
          <w:sz w:val="28"/>
          <w:szCs w:val="28"/>
        </w:rPr>
        <w:t>.</w:t>
      </w:r>
    </w:p>
    <w:p w:rsidR="00751432" w:rsidRPr="004C0844" w:rsidRDefault="00751432" w:rsidP="004C084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0844">
        <w:rPr>
          <w:color w:val="000000"/>
          <w:sz w:val="28"/>
          <w:szCs w:val="28"/>
        </w:rPr>
        <w:t>В качестве гипотезы был</w:t>
      </w:r>
      <w:r w:rsidR="00B34905">
        <w:rPr>
          <w:color w:val="000000"/>
          <w:sz w:val="28"/>
          <w:szCs w:val="28"/>
        </w:rPr>
        <w:t>о</w:t>
      </w:r>
      <w:r w:rsidRPr="004C0844">
        <w:rPr>
          <w:color w:val="000000"/>
          <w:sz w:val="28"/>
          <w:szCs w:val="28"/>
        </w:rPr>
        <w:t xml:space="preserve"> выдвинут</w:t>
      </w:r>
      <w:r w:rsidR="00B34905">
        <w:rPr>
          <w:color w:val="000000"/>
          <w:sz w:val="28"/>
          <w:szCs w:val="28"/>
        </w:rPr>
        <w:t xml:space="preserve">о </w:t>
      </w:r>
      <w:r w:rsidRPr="004C0844">
        <w:rPr>
          <w:color w:val="000000"/>
          <w:sz w:val="28"/>
          <w:szCs w:val="28"/>
        </w:rPr>
        <w:t>утверждени</w:t>
      </w:r>
      <w:r w:rsidR="00B34905">
        <w:rPr>
          <w:color w:val="000000"/>
          <w:sz w:val="28"/>
          <w:szCs w:val="28"/>
        </w:rPr>
        <w:t xml:space="preserve">е об эффективности использования </w:t>
      </w:r>
      <w:r w:rsidR="00B34905" w:rsidRPr="004C0844">
        <w:rPr>
          <w:bCs/>
          <w:color w:val="000000"/>
          <w:sz w:val="28"/>
          <w:szCs w:val="28"/>
        </w:rPr>
        <w:t>наглядно-дидактического материала</w:t>
      </w:r>
      <w:r w:rsidR="00B34905">
        <w:rPr>
          <w:bCs/>
          <w:color w:val="000000"/>
          <w:sz w:val="28"/>
          <w:szCs w:val="28"/>
        </w:rPr>
        <w:t xml:space="preserve"> в развитии </w:t>
      </w:r>
      <w:r w:rsidR="00B34905" w:rsidRPr="004C0844">
        <w:rPr>
          <w:color w:val="000000"/>
          <w:sz w:val="28"/>
          <w:szCs w:val="28"/>
        </w:rPr>
        <w:t>словесно - логического мышления</w:t>
      </w:r>
      <w:r w:rsidR="00B34905">
        <w:rPr>
          <w:color w:val="000000"/>
          <w:sz w:val="28"/>
          <w:szCs w:val="28"/>
        </w:rPr>
        <w:t xml:space="preserve"> у детей с </w:t>
      </w:r>
      <w:r w:rsidR="00B34905" w:rsidRPr="00B34905">
        <w:rPr>
          <w:color w:val="000000"/>
          <w:sz w:val="28"/>
          <w:szCs w:val="28"/>
        </w:rPr>
        <w:t>ОНР 3 уровня</w:t>
      </w:r>
      <w:r w:rsidR="00B34905">
        <w:rPr>
          <w:color w:val="000000"/>
          <w:sz w:val="28"/>
          <w:szCs w:val="28"/>
        </w:rPr>
        <w:t xml:space="preserve"> при соблюдении следующих условий</w:t>
      </w:r>
      <w:r w:rsidRPr="004C0844">
        <w:rPr>
          <w:color w:val="000000"/>
          <w:sz w:val="28"/>
          <w:szCs w:val="28"/>
        </w:rPr>
        <w:t>:</w:t>
      </w:r>
    </w:p>
    <w:p w:rsidR="00751432" w:rsidRPr="004C0844" w:rsidRDefault="00751432" w:rsidP="004C084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0844">
        <w:rPr>
          <w:color w:val="000000"/>
          <w:sz w:val="28"/>
          <w:szCs w:val="28"/>
        </w:rPr>
        <w:t>- материал включает логико-поисковые задания занимательного характера, соответствует изучаемому материалу и строится с учетом подготовленности дошкольников;</w:t>
      </w:r>
    </w:p>
    <w:p w:rsidR="00751432" w:rsidRPr="004C0844" w:rsidRDefault="00751432" w:rsidP="004C084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0844">
        <w:rPr>
          <w:color w:val="000000"/>
          <w:sz w:val="28"/>
          <w:szCs w:val="28"/>
        </w:rPr>
        <w:t xml:space="preserve">- комплекс </w:t>
      </w:r>
      <w:r w:rsidRPr="004C0844">
        <w:rPr>
          <w:bCs/>
          <w:color w:val="000000"/>
          <w:sz w:val="28"/>
          <w:szCs w:val="28"/>
        </w:rPr>
        <w:t xml:space="preserve">наглядно-дидактического материала </w:t>
      </w:r>
      <w:r w:rsidRPr="004C0844">
        <w:rPr>
          <w:color w:val="000000"/>
          <w:sz w:val="28"/>
          <w:szCs w:val="28"/>
        </w:rPr>
        <w:t xml:space="preserve">ориентирован на последовательность овладения детьми навыками построения умозаключений (выделение отдельных признаков предметов; объединение воспринимаемых признаков предметов; словесный анализ признаков объекта; группировка объектов на основе наглядно предложенных знаков). </w:t>
      </w:r>
    </w:p>
    <w:p w:rsidR="00751432" w:rsidRPr="004C0844" w:rsidRDefault="00751432" w:rsidP="004C084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0844">
        <w:rPr>
          <w:color w:val="000000"/>
          <w:sz w:val="28"/>
          <w:szCs w:val="28"/>
        </w:rPr>
        <w:t xml:space="preserve">Для доказательства выдвинутой гипотезы был осуществлен педагогический эксперимент, включающий в себя три основных этапа. На первом этапе рассматривалась научно-методическая литература по проблемам исследования. Второй этап включал в себя работу по подготовке к проведению самого эксперимента, а именно: подбор групп испытуемых, определение диагностик развития словесно-логического мышления старших дошкольников, а также разработку программы развития словесно-логического мышления с использованием комплекса наглядно-дидактического материала. Базой исследования являлся </w:t>
      </w:r>
      <w:r w:rsidRPr="004C0844">
        <w:rPr>
          <w:sz w:val="28"/>
          <w:szCs w:val="28"/>
        </w:rPr>
        <w:t xml:space="preserve">Муниципальное </w:t>
      </w:r>
      <w:proofErr w:type="gramStart"/>
      <w:r w:rsidRPr="004C0844">
        <w:rPr>
          <w:sz w:val="28"/>
          <w:szCs w:val="28"/>
        </w:rPr>
        <w:lastRenderedPageBreak/>
        <w:t>бюджетное  дошкольное</w:t>
      </w:r>
      <w:proofErr w:type="gramEnd"/>
      <w:r w:rsidRPr="004C0844">
        <w:rPr>
          <w:sz w:val="28"/>
          <w:szCs w:val="28"/>
        </w:rPr>
        <w:t xml:space="preserve"> образовательное учреждение «Центр Развития Ребенка – детский сад «Чайка».</w:t>
      </w:r>
      <w:r w:rsidRPr="004C0844">
        <w:rPr>
          <w:color w:val="000000"/>
          <w:sz w:val="28"/>
          <w:szCs w:val="28"/>
        </w:rPr>
        <w:t xml:space="preserve"> </w:t>
      </w:r>
    </w:p>
    <w:p w:rsidR="00751432" w:rsidRPr="004C0844" w:rsidRDefault="00751432" w:rsidP="004C0844">
      <w:pPr>
        <w:pStyle w:val="Default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C0844">
        <w:rPr>
          <w:sz w:val="28"/>
          <w:szCs w:val="28"/>
          <w:lang w:val="ru-RU"/>
        </w:rPr>
        <w:t xml:space="preserve">В исследовании участвовало 40 старших дошкольников с ОНР </w:t>
      </w:r>
      <w:r w:rsidRPr="004C0844">
        <w:rPr>
          <w:sz w:val="28"/>
          <w:szCs w:val="28"/>
        </w:rPr>
        <w:t>III</w:t>
      </w:r>
      <w:r w:rsidRPr="004C0844">
        <w:rPr>
          <w:sz w:val="28"/>
          <w:szCs w:val="28"/>
          <w:lang w:val="ru-RU"/>
        </w:rPr>
        <w:t xml:space="preserve"> уровня, из которых были сформированы контрольная (КГ) и экспериментальная (ЭГ) группы по 20 человек в каждой</w:t>
      </w:r>
      <w:r w:rsidR="00524800" w:rsidRPr="004C0844">
        <w:rPr>
          <w:sz w:val="28"/>
          <w:szCs w:val="28"/>
          <w:lang w:val="ru-RU"/>
        </w:rPr>
        <w:t xml:space="preserve">. </w:t>
      </w:r>
    </w:p>
    <w:p w:rsidR="007C58BE" w:rsidRPr="004C0844" w:rsidRDefault="00524800" w:rsidP="004C0844">
      <w:pPr>
        <w:pStyle w:val="Default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C0844">
        <w:rPr>
          <w:sz w:val="28"/>
          <w:szCs w:val="28"/>
          <w:lang w:val="ru-RU"/>
        </w:rPr>
        <w:t xml:space="preserve">Исследование </w:t>
      </w:r>
      <w:r w:rsidR="00751432" w:rsidRPr="004C0844">
        <w:rPr>
          <w:sz w:val="28"/>
          <w:szCs w:val="28"/>
          <w:lang w:val="ru-RU"/>
        </w:rPr>
        <w:t>словесно-логического мышления осуществлялось в обеих группах на начало и на конец эксперимента по следующим диагностикам:</w:t>
      </w:r>
      <w:r w:rsidRPr="004C0844">
        <w:rPr>
          <w:sz w:val="28"/>
          <w:szCs w:val="28"/>
          <w:lang w:val="ru-RU"/>
        </w:rPr>
        <w:t xml:space="preserve"> методика «Простые аналогии»</w:t>
      </w:r>
      <w:r w:rsidR="00627793" w:rsidRPr="004C0844">
        <w:rPr>
          <w:sz w:val="28"/>
          <w:szCs w:val="28"/>
          <w:lang w:val="ru-RU"/>
        </w:rPr>
        <w:t xml:space="preserve"> С.Д. </w:t>
      </w:r>
      <w:proofErr w:type="spellStart"/>
      <w:r w:rsidR="00627793" w:rsidRPr="004C0844">
        <w:rPr>
          <w:sz w:val="28"/>
          <w:szCs w:val="28"/>
          <w:lang w:val="ru-RU"/>
        </w:rPr>
        <w:t>Забрамной</w:t>
      </w:r>
      <w:proofErr w:type="spellEnd"/>
      <w:r w:rsidRPr="004C0844">
        <w:rPr>
          <w:sz w:val="28"/>
          <w:szCs w:val="28"/>
          <w:lang w:val="ru-RU"/>
        </w:rPr>
        <w:t>, методика «Сравнение понятий»</w:t>
      </w:r>
      <w:r w:rsidR="00627793" w:rsidRPr="004C0844">
        <w:rPr>
          <w:sz w:val="28"/>
          <w:szCs w:val="28"/>
          <w:lang w:val="ru-RU"/>
        </w:rPr>
        <w:t xml:space="preserve"> </w:t>
      </w:r>
      <w:r w:rsidR="00627793" w:rsidRPr="004C0844">
        <w:rPr>
          <w:noProof/>
          <w:sz w:val="28"/>
          <w:szCs w:val="28"/>
          <w:lang w:val="ru-RU" w:eastAsia="ru-RU"/>
        </w:rPr>
        <w:t>Л.И. Катаевой, С.Д. Забрамной</w:t>
      </w:r>
      <w:r w:rsidRPr="004C0844">
        <w:rPr>
          <w:sz w:val="28"/>
          <w:szCs w:val="28"/>
          <w:lang w:val="ru-RU"/>
        </w:rPr>
        <w:t xml:space="preserve"> и методика «Исключи лишнее»</w:t>
      </w:r>
      <w:r w:rsidR="00B34905">
        <w:rPr>
          <w:sz w:val="28"/>
          <w:szCs w:val="28"/>
          <w:lang w:val="ru-RU"/>
        </w:rPr>
        <w:t>,</w:t>
      </w:r>
      <w:r w:rsidRPr="004C0844">
        <w:rPr>
          <w:sz w:val="28"/>
          <w:szCs w:val="28"/>
          <w:lang w:val="ru-RU"/>
        </w:rPr>
        <w:t xml:space="preserve"> предложенных С.Д </w:t>
      </w:r>
      <w:proofErr w:type="spellStart"/>
      <w:r w:rsidRPr="004C0844">
        <w:rPr>
          <w:sz w:val="28"/>
          <w:szCs w:val="28"/>
          <w:lang w:val="ru-RU"/>
        </w:rPr>
        <w:t>Забрамной</w:t>
      </w:r>
      <w:proofErr w:type="spellEnd"/>
      <w:r w:rsidRPr="004C0844">
        <w:rPr>
          <w:sz w:val="28"/>
          <w:szCs w:val="28"/>
          <w:lang w:val="ru-RU"/>
        </w:rPr>
        <w:t xml:space="preserve">. </w:t>
      </w:r>
    </w:p>
    <w:p w:rsidR="000C3385" w:rsidRPr="004C0844" w:rsidRDefault="000C3385" w:rsidP="004C0844">
      <w:pPr>
        <w:pStyle w:val="Default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C0844">
        <w:rPr>
          <w:sz w:val="28"/>
          <w:szCs w:val="28"/>
          <w:lang w:val="ru-RU"/>
        </w:rPr>
        <w:t>Результаты исследования на констатирующем этапе эксперимента представлены в таблице 1 и на рис. 1. В таблице представлены уровни развития словесно-логического мышления в дифференциации на высокий (В), средний (С), и низкий (Н) уровни.</w:t>
      </w:r>
    </w:p>
    <w:p w:rsidR="000C3385" w:rsidRPr="004C0844" w:rsidRDefault="000C3385" w:rsidP="004C0844">
      <w:pPr>
        <w:pStyle w:val="Default"/>
        <w:spacing w:line="360" w:lineRule="auto"/>
        <w:ind w:firstLine="709"/>
        <w:jc w:val="center"/>
        <w:rPr>
          <w:sz w:val="28"/>
          <w:szCs w:val="28"/>
          <w:lang w:val="ru-RU"/>
        </w:rPr>
      </w:pPr>
      <w:r w:rsidRPr="004C0844">
        <w:rPr>
          <w:sz w:val="28"/>
          <w:szCs w:val="28"/>
          <w:lang w:val="ru-RU"/>
        </w:rPr>
        <w:t>Таблица 1 – Результаты констатирующего этапа эксперимента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761"/>
        <w:gridCol w:w="1085"/>
        <w:gridCol w:w="1344"/>
        <w:gridCol w:w="730"/>
        <w:gridCol w:w="984"/>
        <w:gridCol w:w="1477"/>
      </w:tblGrid>
      <w:tr w:rsidR="000C3385" w:rsidRPr="001E546E" w:rsidTr="001E546E">
        <w:tc>
          <w:tcPr>
            <w:tcW w:w="3190" w:type="dxa"/>
            <w:vMerge w:val="restart"/>
          </w:tcPr>
          <w:p w:rsidR="000C3385" w:rsidRPr="001E546E" w:rsidRDefault="000C3385" w:rsidP="001E546E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1E546E">
              <w:rPr>
                <w:sz w:val="28"/>
                <w:szCs w:val="28"/>
                <w:lang w:val="ru-RU"/>
              </w:rPr>
              <w:t>Диагностики</w:t>
            </w:r>
          </w:p>
        </w:tc>
        <w:tc>
          <w:tcPr>
            <w:tcW w:w="3190" w:type="dxa"/>
            <w:gridSpan w:val="3"/>
          </w:tcPr>
          <w:p w:rsidR="000C3385" w:rsidRPr="001E546E" w:rsidRDefault="000C3385" w:rsidP="001E546E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1E546E">
              <w:rPr>
                <w:sz w:val="28"/>
                <w:szCs w:val="28"/>
                <w:lang w:val="ru-RU"/>
              </w:rPr>
              <w:t>КГ, %</w:t>
            </w:r>
          </w:p>
        </w:tc>
        <w:tc>
          <w:tcPr>
            <w:tcW w:w="3191" w:type="dxa"/>
            <w:gridSpan w:val="3"/>
          </w:tcPr>
          <w:p w:rsidR="000C3385" w:rsidRPr="001E546E" w:rsidRDefault="000C3385" w:rsidP="001E546E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1E546E">
              <w:rPr>
                <w:sz w:val="28"/>
                <w:szCs w:val="28"/>
                <w:lang w:val="ru-RU"/>
              </w:rPr>
              <w:t>ЭГ, %</w:t>
            </w:r>
          </w:p>
        </w:tc>
      </w:tr>
      <w:tr w:rsidR="000C3385" w:rsidRPr="001E546E" w:rsidTr="001E546E">
        <w:tc>
          <w:tcPr>
            <w:tcW w:w="3190" w:type="dxa"/>
            <w:vMerge/>
          </w:tcPr>
          <w:p w:rsidR="000C3385" w:rsidRPr="001E546E" w:rsidRDefault="000C3385" w:rsidP="001E546E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61" w:type="dxa"/>
          </w:tcPr>
          <w:p w:rsidR="000C3385" w:rsidRPr="001E546E" w:rsidRDefault="000C3385" w:rsidP="001E546E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1E546E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085" w:type="dxa"/>
          </w:tcPr>
          <w:p w:rsidR="000C3385" w:rsidRPr="001E546E" w:rsidRDefault="000C3385" w:rsidP="001E546E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1E546E">
              <w:rPr>
                <w:sz w:val="28"/>
                <w:szCs w:val="28"/>
                <w:lang w:val="ru-RU"/>
              </w:rPr>
              <w:t>С</w:t>
            </w:r>
          </w:p>
        </w:tc>
        <w:tc>
          <w:tcPr>
            <w:tcW w:w="1344" w:type="dxa"/>
          </w:tcPr>
          <w:p w:rsidR="000C3385" w:rsidRPr="001E546E" w:rsidRDefault="000C3385" w:rsidP="001E546E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1E546E">
              <w:rPr>
                <w:sz w:val="28"/>
                <w:szCs w:val="28"/>
                <w:lang w:val="ru-RU"/>
              </w:rPr>
              <w:t>Н</w:t>
            </w:r>
          </w:p>
        </w:tc>
        <w:tc>
          <w:tcPr>
            <w:tcW w:w="730" w:type="dxa"/>
          </w:tcPr>
          <w:p w:rsidR="000C3385" w:rsidRPr="001E546E" w:rsidRDefault="000C3385" w:rsidP="001E546E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1E546E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984" w:type="dxa"/>
          </w:tcPr>
          <w:p w:rsidR="000C3385" w:rsidRPr="001E546E" w:rsidRDefault="000C3385" w:rsidP="001E546E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1E546E">
              <w:rPr>
                <w:sz w:val="28"/>
                <w:szCs w:val="28"/>
                <w:lang w:val="ru-RU"/>
              </w:rPr>
              <w:t>С</w:t>
            </w:r>
          </w:p>
        </w:tc>
        <w:tc>
          <w:tcPr>
            <w:tcW w:w="1477" w:type="dxa"/>
          </w:tcPr>
          <w:p w:rsidR="000C3385" w:rsidRPr="001E546E" w:rsidRDefault="000C3385" w:rsidP="001E546E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1E546E">
              <w:rPr>
                <w:sz w:val="28"/>
                <w:szCs w:val="28"/>
                <w:lang w:val="ru-RU"/>
              </w:rPr>
              <w:t>Н</w:t>
            </w:r>
          </w:p>
        </w:tc>
      </w:tr>
      <w:tr w:rsidR="000C3385" w:rsidRPr="001E546E" w:rsidTr="001E546E">
        <w:tc>
          <w:tcPr>
            <w:tcW w:w="3190" w:type="dxa"/>
          </w:tcPr>
          <w:p w:rsidR="000C3385" w:rsidRPr="001E546E" w:rsidRDefault="000C3385" w:rsidP="001E546E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1E546E">
              <w:rPr>
                <w:sz w:val="28"/>
                <w:szCs w:val="28"/>
                <w:lang w:val="ru-RU"/>
              </w:rPr>
              <w:t>Простые аналогии</w:t>
            </w:r>
          </w:p>
        </w:tc>
        <w:tc>
          <w:tcPr>
            <w:tcW w:w="761" w:type="dxa"/>
          </w:tcPr>
          <w:p w:rsidR="000C3385" w:rsidRPr="001E546E" w:rsidRDefault="000C3385" w:rsidP="001E546E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1E546E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085" w:type="dxa"/>
          </w:tcPr>
          <w:p w:rsidR="000C3385" w:rsidRPr="001E546E" w:rsidRDefault="00720A53" w:rsidP="001E546E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1E546E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1344" w:type="dxa"/>
          </w:tcPr>
          <w:p w:rsidR="000C3385" w:rsidRPr="001E546E" w:rsidRDefault="00720A53" w:rsidP="001E546E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1E546E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730" w:type="dxa"/>
          </w:tcPr>
          <w:p w:rsidR="000C3385" w:rsidRPr="001E546E" w:rsidRDefault="00720A53" w:rsidP="001E546E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1E546E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984" w:type="dxa"/>
          </w:tcPr>
          <w:p w:rsidR="000C3385" w:rsidRPr="001E546E" w:rsidRDefault="00720A53" w:rsidP="001E546E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1E546E"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1477" w:type="dxa"/>
          </w:tcPr>
          <w:p w:rsidR="000C3385" w:rsidRPr="001E546E" w:rsidRDefault="00720A53" w:rsidP="001E546E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1E546E">
              <w:rPr>
                <w:sz w:val="28"/>
                <w:szCs w:val="28"/>
                <w:lang w:val="ru-RU"/>
              </w:rPr>
              <w:t>50</w:t>
            </w:r>
          </w:p>
        </w:tc>
      </w:tr>
      <w:tr w:rsidR="000C3385" w:rsidRPr="001E546E" w:rsidTr="001E546E">
        <w:tc>
          <w:tcPr>
            <w:tcW w:w="3190" w:type="dxa"/>
          </w:tcPr>
          <w:p w:rsidR="000C3385" w:rsidRPr="001E546E" w:rsidRDefault="000C3385" w:rsidP="001E546E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1E546E">
              <w:rPr>
                <w:sz w:val="28"/>
                <w:szCs w:val="28"/>
                <w:lang w:val="ru-RU"/>
              </w:rPr>
              <w:t>Сравнение понятий</w:t>
            </w:r>
          </w:p>
        </w:tc>
        <w:tc>
          <w:tcPr>
            <w:tcW w:w="761" w:type="dxa"/>
          </w:tcPr>
          <w:p w:rsidR="000C3385" w:rsidRPr="001E546E" w:rsidRDefault="00720A53" w:rsidP="001E546E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1E546E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085" w:type="dxa"/>
          </w:tcPr>
          <w:p w:rsidR="000C3385" w:rsidRPr="001E546E" w:rsidRDefault="00720A53" w:rsidP="001E546E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1E546E"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1344" w:type="dxa"/>
          </w:tcPr>
          <w:p w:rsidR="000C3385" w:rsidRPr="001E546E" w:rsidRDefault="00720A53" w:rsidP="001E546E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1E546E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730" w:type="dxa"/>
          </w:tcPr>
          <w:p w:rsidR="000C3385" w:rsidRPr="001E546E" w:rsidRDefault="00720A53" w:rsidP="001E546E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1E546E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984" w:type="dxa"/>
          </w:tcPr>
          <w:p w:rsidR="000C3385" w:rsidRPr="001E546E" w:rsidRDefault="00720A53" w:rsidP="001E546E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1E546E"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1477" w:type="dxa"/>
          </w:tcPr>
          <w:p w:rsidR="000C3385" w:rsidRPr="001E546E" w:rsidRDefault="00720A53" w:rsidP="001E546E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1E546E">
              <w:rPr>
                <w:sz w:val="28"/>
                <w:szCs w:val="28"/>
                <w:lang w:val="ru-RU"/>
              </w:rPr>
              <w:t>44</w:t>
            </w:r>
          </w:p>
        </w:tc>
      </w:tr>
      <w:tr w:rsidR="000C3385" w:rsidRPr="001E546E" w:rsidTr="001E546E">
        <w:tc>
          <w:tcPr>
            <w:tcW w:w="3190" w:type="dxa"/>
          </w:tcPr>
          <w:p w:rsidR="000C3385" w:rsidRPr="001E546E" w:rsidRDefault="000C3385" w:rsidP="001E546E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1E546E">
              <w:rPr>
                <w:sz w:val="28"/>
                <w:szCs w:val="28"/>
                <w:lang w:val="ru-RU"/>
              </w:rPr>
              <w:t>Исключи лишнее</w:t>
            </w:r>
          </w:p>
        </w:tc>
        <w:tc>
          <w:tcPr>
            <w:tcW w:w="761" w:type="dxa"/>
          </w:tcPr>
          <w:p w:rsidR="000C3385" w:rsidRPr="001E546E" w:rsidRDefault="00720A53" w:rsidP="001E546E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1E546E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085" w:type="dxa"/>
          </w:tcPr>
          <w:p w:rsidR="000C3385" w:rsidRPr="001E546E" w:rsidRDefault="00720A53" w:rsidP="001E546E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1E546E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1344" w:type="dxa"/>
          </w:tcPr>
          <w:p w:rsidR="000C3385" w:rsidRPr="001E546E" w:rsidRDefault="00720A53" w:rsidP="001E546E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1E546E"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730" w:type="dxa"/>
          </w:tcPr>
          <w:p w:rsidR="000C3385" w:rsidRPr="001E546E" w:rsidRDefault="00720A53" w:rsidP="001E546E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1E546E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984" w:type="dxa"/>
          </w:tcPr>
          <w:p w:rsidR="000C3385" w:rsidRPr="001E546E" w:rsidRDefault="00720A53" w:rsidP="001E546E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1E546E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1477" w:type="dxa"/>
          </w:tcPr>
          <w:p w:rsidR="000C3385" w:rsidRPr="001E546E" w:rsidRDefault="00720A53" w:rsidP="001E546E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1E546E">
              <w:rPr>
                <w:sz w:val="28"/>
                <w:szCs w:val="28"/>
                <w:lang w:val="ru-RU"/>
              </w:rPr>
              <w:t>50</w:t>
            </w:r>
          </w:p>
        </w:tc>
      </w:tr>
    </w:tbl>
    <w:p w:rsidR="00720A53" w:rsidRPr="004C0844" w:rsidRDefault="00720A53" w:rsidP="004C0844">
      <w:pPr>
        <w:pStyle w:val="Default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C0844">
        <w:rPr>
          <w:sz w:val="28"/>
          <w:szCs w:val="28"/>
          <w:lang w:val="ru-RU"/>
        </w:rPr>
        <w:t xml:space="preserve">Данные, представленные в таблице 1, позволяют говорить о преобладании среднего и низкого уровня развития словесно-логического мышления как в КГ, так и ЭГ. Это позволяет нам говорить об изначальном равенстве в развитии мышления испытуемых старших дошкольников, и, соответственно, о достоверности результатов дальнейшего исследования. </w:t>
      </w:r>
    </w:p>
    <w:p w:rsidR="00720A53" w:rsidRPr="004C0844" w:rsidRDefault="00720A53" w:rsidP="004C0844">
      <w:pPr>
        <w:pStyle w:val="Default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C0844">
        <w:rPr>
          <w:noProof/>
          <w:sz w:val="28"/>
          <w:szCs w:val="28"/>
          <w:lang w:val="ru-RU"/>
        </w:rPr>
        <w:t xml:space="preserve">Количественный анализ работы </w:t>
      </w:r>
      <w:r w:rsidR="005E64FC">
        <w:rPr>
          <w:noProof/>
          <w:sz w:val="28"/>
          <w:szCs w:val="28"/>
          <w:lang w:val="ru-RU"/>
        </w:rPr>
        <w:t xml:space="preserve">выявил таеи еособенности выполнения </w:t>
      </w:r>
      <w:r w:rsidRPr="004C0844">
        <w:rPr>
          <w:noProof/>
          <w:sz w:val="28"/>
          <w:szCs w:val="28"/>
          <w:lang w:val="ru-RU"/>
        </w:rPr>
        <w:t xml:space="preserve"> диагности</w:t>
      </w:r>
      <w:r w:rsidR="005E64FC">
        <w:rPr>
          <w:noProof/>
          <w:sz w:val="28"/>
          <w:szCs w:val="28"/>
          <w:lang w:val="ru-RU"/>
        </w:rPr>
        <w:t xml:space="preserve">ческих заданий: </w:t>
      </w:r>
      <w:r w:rsidRPr="004C0844">
        <w:rPr>
          <w:noProof/>
          <w:sz w:val="28"/>
          <w:szCs w:val="28"/>
          <w:lang w:val="ru-RU"/>
        </w:rPr>
        <w:t>дет</w:t>
      </w:r>
      <w:r w:rsidR="005E64FC">
        <w:rPr>
          <w:noProof/>
          <w:sz w:val="28"/>
          <w:szCs w:val="28"/>
          <w:lang w:val="ru-RU"/>
        </w:rPr>
        <w:t>и</w:t>
      </w:r>
      <w:r w:rsidRPr="004C0844">
        <w:rPr>
          <w:noProof/>
          <w:sz w:val="28"/>
          <w:szCs w:val="28"/>
          <w:lang w:val="ru-RU"/>
        </w:rPr>
        <w:t xml:space="preserve"> допускали ошибки в аналогиях </w:t>
      </w:r>
      <w:r w:rsidRPr="004C0844">
        <w:rPr>
          <w:sz w:val="28"/>
          <w:szCs w:val="28"/>
          <w:lang w:val="ru-RU"/>
        </w:rPr>
        <w:t xml:space="preserve">«школа – больница», «обучение - лечение», «хлеб - пекарь», «дом - строитель». При сравнении понятий довольно быстро ответили на легкие вопросы («Чем похожи: трамвай и автобус?», «Чем отличаются: поезд и самолёт?»), однако более сложные вопросы («Чем похожи и чем отличаются: обман и ошибка?», «Чем похожи и чем отличаются ботинок и карандаш?»), которые требовали </w:t>
      </w:r>
      <w:r w:rsidRPr="004C0844">
        <w:rPr>
          <w:sz w:val="28"/>
          <w:szCs w:val="28"/>
          <w:lang w:val="ru-RU"/>
        </w:rPr>
        <w:lastRenderedPageBreak/>
        <w:t>более детального анализа, вызвали сложности. У некоторых детей вопросы, сложные для них, вызывали повышенную двигательную и речевую активность игрового характера. При исключении лишнего испытуемые обеих групп показали не слишком высокий результат</w:t>
      </w:r>
      <w:r w:rsidR="005E64FC">
        <w:rPr>
          <w:sz w:val="28"/>
          <w:szCs w:val="28"/>
          <w:lang w:val="ru-RU"/>
        </w:rPr>
        <w:t>. М</w:t>
      </w:r>
      <w:r w:rsidRPr="004C0844">
        <w:rPr>
          <w:sz w:val="28"/>
          <w:szCs w:val="28"/>
          <w:lang w:val="ru-RU"/>
        </w:rPr>
        <w:t>алое число детей полностью справилось с заданием, большинство же допускало ошибки, причем многие сдавались, осознавая, что их уровень знаний не позволяет им исключить лишние из перечисленных понятий.</w:t>
      </w:r>
    </w:p>
    <w:p w:rsidR="00720A53" w:rsidRPr="004C0844" w:rsidRDefault="00720A53" w:rsidP="004C0844">
      <w:pPr>
        <w:pStyle w:val="Default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C0844">
        <w:rPr>
          <w:sz w:val="28"/>
          <w:szCs w:val="28"/>
          <w:lang w:val="ru-RU"/>
        </w:rPr>
        <w:t xml:space="preserve">На основании проведенного констатирующего этапа было принято решение о необходимости внедрения в непосредственно образовательный процесс программы по развитию словесно-логического мышления, </w:t>
      </w:r>
      <w:r w:rsidR="005E64FC">
        <w:rPr>
          <w:sz w:val="28"/>
          <w:szCs w:val="28"/>
          <w:lang w:val="ru-RU"/>
        </w:rPr>
        <w:t>насыщенный</w:t>
      </w:r>
      <w:r w:rsidRPr="004C0844">
        <w:rPr>
          <w:sz w:val="28"/>
          <w:szCs w:val="28"/>
          <w:lang w:val="ru-RU"/>
        </w:rPr>
        <w:t xml:space="preserve"> наглядно-дидактически</w:t>
      </w:r>
      <w:r w:rsidR="005E64FC">
        <w:rPr>
          <w:sz w:val="28"/>
          <w:szCs w:val="28"/>
          <w:lang w:val="ru-RU"/>
        </w:rPr>
        <w:t>м</w:t>
      </w:r>
      <w:r w:rsidRPr="004C0844">
        <w:rPr>
          <w:sz w:val="28"/>
          <w:szCs w:val="28"/>
          <w:lang w:val="ru-RU"/>
        </w:rPr>
        <w:t xml:space="preserve"> материал</w:t>
      </w:r>
      <w:r w:rsidR="005E64FC">
        <w:rPr>
          <w:sz w:val="28"/>
          <w:szCs w:val="28"/>
          <w:lang w:val="ru-RU"/>
        </w:rPr>
        <w:t>ом</w:t>
      </w:r>
      <w:r w:rsidRPr="004C0844">
        <w:rPr>
          <w:sz w:val="28"/>
          <w:szCs w:val="28"/>
          <w:lang w:val="ru-RU"/>
        </w:rPr>
        <w:t xml:space="preserve">. </w:t>
      </w:r>
      <w:r w:rsidR="00F23D87" w:rsidRPr="004C0844">
        <w:rPr>
          <w:sz w:val="28"/>
          <w:szCs w:val="28"/>
          <w:lang w:val="ru-RU"/>
        </w:rPr>
        <w:t>В КГ занятия проходили без введения экспериментальной коррекционной работы.</w:t>
      </w:r>
    </w:p>
    <w:p w:rsidR="00F23D87" w:rsidRPr="004C0844" w:rsidRDefault="00F23D87" w:rsidP="004C0844">
      <w:pPr>
        <w:pStyle w:val="Default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C0844">
        <w:rPr>
          <w:sz w:val="28"/>
          <w:szCs w:val="28"/>
          <w:lang w:val="ru-RU"/>
        </w:rPr>
        <w:t xml:space="preserve">Программа коррекционной работы опиралась на личностно-ориентированный подход, принцип системности, непрерывности, единства психолого-педагогического и дефектологического подходов, а также на принцип сотрудничества с семьей дошкольника. Занятия в ходе коррекционной работы имели преимущественно игровой характер, так как для данного возрастного периода игра является основным видом деятельности, что позволило значительно увеличить словарный запас дошкольников, а также повысить эффективность их логического мышления. </w:t>
      </w:r>
    </w:p>
    <w:p w:rsidR="00F23D87" w:rsidRDefault="00F23D87" w:rsidP="004C0844">
      <w:pPr>
        <w:pStyle w:val="Default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C0844">
        <w:rPr>
          <w:sz w:val="28"/>
          <w:szCs w:val="28"/>
          <w:lang w:val="ru-RU"/>
        </w:rPr>
        <w:t xml:space="preserve">В рамках коррекционной работы детям давались знания об окружающем мире, читались народные сказки, демонстрировались иллюстрации к ним. Важным являлось постоянное повторение материала и стремление к осуществлению пересказа дошкольниками услышанного (повторение услышанного текста, пересказ по картинкам, построение нового рассказа по представленным картинкам и т.п.). </w:t>
      </w:r>
    </w:p>
    <w:p w:rsidR="005E64FC" w:rsidRPr="005E64FC" w:rsidRDefault="005E64FC" w:rsidP="005E64F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Подобранный и систематизированный нами с наглядно-дидактический материал </w:t>
      </w:r>
      <w:r w:rsidRPr="004C0844">
        <w:rPr>
          <w:color w:val="000000"/>
          <w:sz w:val="28"/>
          <w:szCs w:val="28"/>
        </w:rPr>
        <w:t>включа</w:t>
      </w:r>
      <w:r>
        <w:rPr>
          <w:color w:val="000000"/>
          <w:sz w:val="28"/>
          <w:szCs w:val="28"/>
        </w:rPr>
        <w:t>л</w:t>
      </w:r>
      <w:r w:rsidRPr="004C0844">
        <w:rPr>
          <w:color w:val="000000"/>
          <w:sz w:val="28"/>
          <w:szCs w:val="28"/>
        </w:rPr>
        <w:t xml:space="preserve"> логико-поисковые задания занимательного характера, уч</w:t>
      </w:r>
      <w:r>
        <w:rPr>
          <w:color w:val="000000"/>
          <w:sz w:val="28"/>
          <w:szCs w:val="28"/>
        </w:rPr>
        <w:t>и</w:t>
      </w:r>
      <w:r w:rsidRPr="004C084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ывал</w:t>
      </w:r>
      <w:r w:rsidRPr="004C08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трудности детей в заданиях на сравнение и дифференциацию понятий и был </w:t>
      </w:r>
      <w:r w:rsidRPr="005E64FC">
        <w:rPr>
          <w:color w:val="000000"/>
          <w:sz w:val="28"/>
          <w:szCs w:val="28"/>
        </w:rPr>
        <w:t xml:space="preserve">ориентирован на </w:t>
      </w:r>
      <w:r>
        <w:rPr>
          <w:color w:val="000000"/>
          <w:sz w:val="28"/>
          <w:szCs w:val="28"/>
        </w:rPr>
        <w:t>этапность в</w:t>
      </w:r>
      <w:r w:rsidRPr="005E64FC">
        <w:rPr>
          <w:color w:val="000000"/>
          <w:sz w:val="28"/>
          <w:szCs w:val="28"/>
        </w:rPr>
        <w:t xml:space="preserve"> овладени</w:t>
      </w:r>
      <w:r>
        <w:rPr>
          <w:color w:val="000000"/>
          <w:sz w:val="28"/>
          <w:szCs w:val="28"/>
        </w:rPr>
        <w:t>и</w:t>
      </w:r>
      <w:r w:rsidRPr="005E64FC">
        <w:rPr>
          <w:color w:val="000000"/>
          <w:sz w:val="28"/>
          <w:szCs w:val="28"/>
        </w:rPr>
        <w:t xml:space="preserve"> детьми навыками построения умозаключений</w:t>
      </w:r>
      <w:r>
        <w:rPr>
          <w:color w:val="000000"/>
          <w:sz w:val="28"/>
          <w:szCs w:val="28"/>
        </w:rPr>
        <w:t>.</w:t>
      </w:r>
    </w:p>
    <w:p w:rsidR="00F23D87" w:rsidRPr="004C0844" w:rsidRDefault="00F23D87" w:rsidP="004C0844">
      <w:pPr>
        <w:pStyle w:val="Default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C0844">
        <w:rPr>
          <w:sz w:val="28"/>
          <w:szCs w:val="28"/>
          <w:lang w:val="ru-RU"/>
        </w:rPr>
        <w:t xml:space="preserve">Также был осуществлен акцент на работу с родителями. На родительских собраниях и в непосредственной беседе с родителями акцентировалось влияние работы </w:t>
      </w:r>
      <w:r w:rsidR="005E64FC">
        <w:rPr>
          <w:sz w:val="28"/>
          <w:szCs w:val="28"/>
          <w:lang w:val="ru-RU"/>
        </w:rPr>
        <w:t xml:space="preserve">родителей </w:t>
      </w:r>
      <w:r w:rsidRPr="004C0844">
        <w:rPr>
          <w:sz w:val="28"/>
          <w:szCs w:val="28"/>
          <w:lang w:val="ru-RU"/>
        </w:rPr>
        <w:t>на развитие словесно-логического мышления и речевых способностей</w:t>
      </w:r>
      <w:r w:rsidR="005E64FC">
        <w:rPr>
          <w:sz w:val="28"/>
          <w:szCs w:val="28"/>
          <w:lang w:val="ru-RU"/>
        </w:rPr>
        <w:t xml:space="preserve"> у детей с речевыми нарушениями</w:t>
      </w:r>
      <w:r w:rsidRPr="004C0844">
        <w:rPr>
          <w:sz w:val="28"/>
          <w:szCs w:val="28"/>
          <w:lang w:val="ru-RU"/>
        </w:rPr>
        <w:t xml:space="preserve">. </w:t>
      </w:r>
    </w:p>
    <w:p w:rsidR="00F23D87" w:rsidRPr="004C0844" w:rsidRDefault="00F23D87" w:rsidP="004C0844">
      <w:pPr>
        <w:pStyle w:val="Default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C0844">
        <w:rPr>
          <w:sz w:val="28"/>
          <w:szCs w:val="28"/>
          <w:lang w:val="ru-RU"/>
        </w:rPr>
        <w:t>По итогам коррекционной работы был повторно проведен диагностический цикл в каждой группе, результаты ко</w:t>
      </w:r>
      <w:r w:rsidR="000D1358">
        <w:rPr>
          <w:sz w:val="28"/>
          <w:szCs w:val="28"/>
          <w:lang w:val="ru-RU"/>
        </w:rPr>
        <w:t>торого представлены в таблице 2.</w:t>
      </w:r>
    </w:p>
    <w:p w:rsidR="00F23D87" w:rsidRPr="004C0844" w:rsidRDefault="00F23D87" w:rsidP="004C0844">
      <w:pPr>
        <w:pStyle w:val="Default"/>
        <w:spacing w:line="360" w:lineRule="auto"/>
        <w:ind w:firstLine="709"/>
        <w:jc w:val="center"/>
        <w:rPr>
          <w:sz w:val="28"/>
          <w:szCs w:val="28"/>
          <w:lang w:val="ru-RU"/>
        </w:rPr>
      </w:pPr>
      <w:r w:rsidRPr="004C0844">
        <w:rPr>
          <w:sz w:val="28"/>
          <w:szCs w:val="28"/>
          <w:lang w:val="ru-RU"/>
        </w:rPr>
        <w:t>Таблица 2 – Результаты контрольного этапа эксперимента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761"/>
        <w:gridCol w:w="1085"/>
        <w:gridCol w:w="1344"/>
        <w:gridCol w:w="730"/>
        <w:gridCol w:w="984"/>
        <w:gridCol w:w="1477"/>
      </w:tblGrid>
      <w:tr w:rsidR="00F23D87" w:rsidRPr="001E546E" w:rsidTr="001E546E">
        <w:tc>
          <w:tcPr>
            <w:tcW w:w="3190" w:type="dxa"/>
            <w:vMerge w:val="restart"/>
          </w:tcPr>
          <w:p w:rsidR="00F23D87" w:rsidRPr="001E546E" w:rsidRDefault="00F23D87" w:rsidP="001E546E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1E546E">
              <w:rPr>
                <w:sz w:val="28"/>
                <w:szCs w:val="28"/>
                <w:lang w:val="ru-RU"/>
              </w:rPr>
              <w:t>Диагностики</w:t>
            </w:r>
          </w:p>
        </w:tc>
        <w:tc>
          <w:tcPr>
            <w:tcW w:w="3190" w:type="dxa"/>
            <w:gridSpan w:val="3"/>
          </w:tcPr>
          <w:p w:rsidR="00F23D87" w:rsidRPr="001E546E" w:rsidRDefault="00F23D87" w:rsidP="001E546E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1E546E">
              <w:rPr>
                <w:sz w:val="28"/>
                <w:szCs w:val="28"/>
                <w:lang w:val="ru-RU"/>
              </w:rPr>
              <w:t>КГ, %</w:t>
            </w:r>
          </w:p>
        </w:tc>
        <w:tc>
          <w:tcPr>
            <w:tcW w:w="3191" w:type="dxa"/>
            <w:gridSpan w:val="3"/>
          </w:tcPr>
          <w:p w:rsidR="00F23D87" w:rsidRPr="001E546E" w:rsidRDefault="00F23D87" w:rsidP="001E546E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1E546E">
              <w:rPr>
                <w:sz w:val="28"/>
                <w:szCs w:val="28"/>
                <w:lang w:val="ru-RU"/>
              </w:rPr>
              <w:t>ЭГ, %</w:t>
            </w:r>
          </w:p>
        </w:tc>
      </w:tr>
      <w:tr w:rsidR="00F23D87" w:rsidRPr="001E546E" w:rsidTr="001E546E">
        <w:tc>
          <w:tcPr>
            <w:tcW w:w="3190" w:type="dxa"/>
            <w:vMerge/>
          </w:tcPr>
          <w:p w:rsidR="00F23D87" w:rsidRPr="001E546E" w:rsidRDefault="00F23D87" w:rsidP="001E546E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61" w:type="dxa"/>
          </w:tcPr>
          <w:p w:rsidR="00F23D87" w:rsidRPr="001E546E" w:rsidRDefault="00F23D87" w:rsidP="001E546E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1E546E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085" w:type="dxa"/>
          </w:tcPr>
          <w:p w:rsidR="00F23D87" w:rsidRPr="001E546E" w:rsidRDefault="00F23D87" w:rsidP="001E546E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1E546E">
              <w:rPr>
                <w:sz w:val="28"/>
                <w:szCs w:val="28"/>
                <w:lang w:val="ru-RU"/>
              </w:rPr>
              <w:t>С</w:t>
            </w:r>
          </w:p>
        </w:tc>
        <w:tc>
          <w:tcPr>
            <w:tcW w:w="1344" w:type="dxa"/>
          </w:tcPr>
          <w:p w:rsidR="00F23D87" w:rsidRPr="001E546E" w:rsidRDefault="00F23D87" w:rsidP="001E546E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1E546E">
              <w:rPr>
                <w:sz w:val="28"/>
                <w:szCs w:val="28"/>
                <w:lang w:val="ru-RU"/>
              </w:rPr>
              <w:t>Н</w:t>
            </w:r>
          </w:p>
        </w:tc>
        <w:tc>
          <w:tcPr>
            <w:tcW w:w="730" w:type="dxa"/>
          </w:tcPr>
          <w:p w:rsidR="00F23D87" w:rsidRPr="001E546E" w:rsidRDefault="00F23D87" w:rsidP="001E546E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1E546E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984" w:type="dxa"/>
          </w:tcPr>
          <w:p w:rsidR="00F23D87" w:rsidRPr="001E546E" w:rsidRDefault="00F23D87" w:rsidP="001E546E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1E546E">
              <w:rPr>
                <w:sz w:val="28"/>
                <w:szCs w:val="28"/>
                <w:lang w:val="ru-RU"/>
              </w:rPr>
              <w:t>С</w:t>
            </w:r>
          </w:p>
        </w:tc>
        <w:tc>
          <w:tcPr>
            <w:tcW w:w="1477" w:type="dxa"/>
          </w:tcPr>
          <w:p w:rsidR="00F23D87" w:rsidRPr="001E546E" w:rsidRDefault="00F23D87" w:rsidP="001E546E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1E546E">
              <w:rPr>
                <w:sz w:val="28"/>
                <w:szCs w:val="28"/>
                <w:lang w:val="ru-RU"/>
              </w:rPr>
              <w:t>Н</w:t>
            </w:r>
          </w:p>
        </w:tc>
      </w:tr>
      <w:tr w:rsidR="00F23D87" w:rsidRPr="001E546E" w:rsidTr="001E546E">
        <w:tc>
          <w:tcPr>
            <w:tcW w:w="3190" w:type="dxa"/>
          </w:tcPr>
          <w:p w:rsidR="00F23D87" w:rsidRPr="001E546E" w:rsidRDefault="00F23D87" w:rsidP="001E546E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1E546E">
              <w:rPr>
                <w:sz w:val="28"/>
                <w:szCs w:val="28"/>
                <w:lang w:val="ru-RU"/>
              </w:rPr>
              <w:t>Простые аналогии</w:t>
            </w:r>
          </w:p>
        </w:tc>
        <w:tc>
          <w:tcPr>
            <w:tcW w:w="761" w:type="dxa"/>
          </w:tcPr>
          <w:p w:rsidR="00F23D87" w:rsidRPr="001E546E" w:rsidRDefault="00F23D87" w:rsidP="001E546E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1E546E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1085" w:type="dxa"/>
          </w:tcPr>
          <w:p w:rsidR="00F23D87" w:rsidRPr="001E546E" w:rsidRDefault="00F23D87" w:rsidP="001E546E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1E546E"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1344" w:type="dxa"/>
          </w:tcPr>
          <w:p w:rsidR="00F23D87" w:rsidRPr="001E546E" w:rsidRDefault="00F23D87" w:rsidP="001E546E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1E546E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730" w:type="dxa"/>
          </w:tcPr>
          <w:p w:rsidR="00F23D87" w:rsidRPr="001E546E" w:rsidRDefault="00F23D87" w:rsidP="001E546E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1E546E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984" w:type="dxa"/>
          </w:tcPr>
          <w:p w:rsidR="00F23D87" w:rsidRPr="001E546E" w:rsidRDefault="00F23D87" w:rsidP="001E546E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1E546E"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1477" w:type="dxa"/>
          </w:tcPr>
          <w:p w:rsidR="00F23D87" w:rsidRPr="001E546E" w:rsidRDefault="00F23D87" w:rsidP="001E546E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1E546E">
              <w:rPr>
                <w:sz w:val="28"/>
                <w:szCs w:val="28"/>
                <w:lang w:val="ru-RU"/>
              </w:rPr>
              <w:t>30</w:t>
            </w:r>
          </w:p>
        </w:tc>
      </w:tr>
      <w:tr w:rsidR="00F23D87" w:rsidRPr="001E546E" w:rsidTr="001E546E">
        <w:tc>
          <w:tcPr>
            <w:tcW w:w="3190" w:type="dxa"/>
          </w:tcPr>
          <w:p w:rsidR="00F23D87" w:rsidRPr="001E546E" w:rsidRDefault="00F23D87" w:rsidP="001E546E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1E546E">
              <w:rPr>
                <w:sz w:val="28"/>
                <w:szCs w:val="28"/>
                <w:lang w:val="ru-RU"/>
              </w:rPr>
              <w:t>Сравнение понятий</w:t>
            </w:r>
          </w:p>
        </w:tc>
        <w:tc>
          <w:tcPr>
            <w:tcW w:w="761" w:type="dxa"/>
          </w:tcPr>
          <w:p w:rsidR="00F23D87" w:rsidRPr="001E546E" w:rsidRDefault="00F23D87" w:rsidP="001E546E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1E546E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1085" w:type="dxa"/>
          </w:tcPr>
          <w:p w:rsidR="00F23D87" w:rsidRPr="001E546E" w:rsidRDefault="00F23D87" w:rsidP="001E546E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1E546E"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1344" w:type="dxa"/>
          </w:tcPr>
          <w:p w:rsidR="00F23D87" w:rsidRPr="001E546E" w:rsidRDefault="00F23D87" w:rsidP="001E546E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1E546E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30" w:type="dxa"/>
          </w:tcPr>
          <w:p w:rsidR="00F23D87" w:rsidRPr="001E546E" w:rsidRDefault="00F23D87" w:rsidP="001E546E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1E546E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984" w:type="dxa"/>
          </w:tcPr>
          <w:p w:rsidR="00F23D87" w:rsidRPr="001E546E" w:rsidRDefault="00F23D87" w:rsidP="001E546E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1E546E"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1477" w:type="dxa"/>
          </w:tcPr>
          <w:p w:rsidR="00F23D87" w:rsidRPr="001E546E" w:rsidRDefault="00F23D87" w:rsidP="001E546E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1E546E">
              <w:rPr>
                <w:sz w:val="28"/>
                <w:szCs w:val="28"/>
                <w:lang w:val="ru-RU"/>
              </w:rPr>
              <w:t>22</w:t>
            </w:r>
          </w:p>
        </w:tc>
      </w:tr>
      <w:tr w:rsidR="00F23D87" w:rsidRPr="001E546E" w:rsidTr="001E546E">
        <w:tc>
          <w:tcPr>
            <w:tcW w:w="3190" w:type="dxa"/>
          </w:tcPr>
          <w:p w:rsidR="00F23D87" w:rsidRPr="001E546E" w:rsidRDefault="00F23D87" w:rsidP="001E546E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1E546E">
              <w:rPr>
                <w:sz w:val="28"/>
                <w:szCs w:val="28"/>
                <w:lang w:val="ru-RU"/>
              </w:rPr>
              <w:t>Исключи лишнее</w:t>
            </w:r>
          </w:p>
        </w:tc>
        <w:tc>
          <w:tcPr>
            <w:tcW w:w="761" w:type="dxa"/>
          </w:tcPr>
          <w:p w:rsidR="00F23D87" w:rsidRPr="001E546E" w:rsidRDefault="00F23D87" w:rsidP="001E546E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1E546E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1085" w:type="dxa"/>
          </w:tcPr>
          <w:p w:rsidR="00F23D87" w:rsidRPr="001E546E" w:rsidRDefault="00F23D87" w:rsidP="001E546E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1E546E"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1344" w:type="dxa"/>
          </w:tcPr>
          <w:p w:rsidR="00F23D87" w:rsidRPr="001E546E" w:rsidRDefault="00F23D87" w:rsidP="001E546E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1E546E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730" w:type="dxa"/>
          </w:tcPr>
          <w:p w:rsidR="00F23D87" w:rsidRPr="001E546E" w:rsidRDefault="00F23D87" w:rsidP="001E546E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1E546E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984" w:type="dxa"/>
          </w:tcPr>
          <w:p w:rsidR="00F23D87" w:rsidRPr="001E546E" w:rsidRDefault="00F23D87" w:rsidP="001E546E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1E546E"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1477" w:type="dxa"/>
          </w:tcPr>
          <w:p w:rsidR="00F23D87" w:rsidRPr="001E546E" w:rsidRDefault="00F23D87" w:rsidP="001E546E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1E546E">
              <w:rPr>
                <w:sz w:val="28"/>
                <w:szCs w:val="28"/>
                <w:lang w:val="ru-RU"/>
              </w:rPr>
              <w:t>28</w:t>
            </w:r>
          </w:p>
        </w:tc>
      </w:tr>
    </w:tbl>
    <w:p w:rsidR="00F23D87" w:rsidRPr="004C0844" w:rsidRDefault="00F23D87" w:rsidP="004C0844">
      <w:pPr>
        <w:pStyle w:val="Default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C0844">
        <w:rPr>
          <w:sz w:val="28"/>
          <w:szCs w:val="28"/>
          <w:lang w:val="ru-RU"/>
        </w:rPr>
        <w:t xml:space="preserve">Данные, представленные в таблице 2, позволяют говорить о том, что в ЭГ </w:t>
      </w:r>
      <w:r w:rsidR="004C0844" w:rsidRPr="004C0844">
        <w:rPr>
          <w:sz w:val="28"/>
          <w:szCs w:val="28"/>
          <w:lang w:val="ru-RU"/>
        </w:rPr>
        <w:t>значительно вырос высокий показатель развития словесно-логического мышления. Имеет значение и тот фактор, что в КГ также отмечается рост высокого показателя, что говорит о качественной работе педагогов дошкольного образовательного учреждения, однако предложенная нами программа коррекционной работы дает более значимые результаты.</w:t>
      </w:r>
    </w:p>
    <w:p w:rsidR="004C0844" w:rsidRDefault="004C0844" w:rsidP="004C0844">
      <w:pPr>
        <w:pStyle w:val="Default"/>
        <w:spacing w:line="360" w:lineRule="auto"/>
        <w:ind w:firstLine="709"/>
        <w:jc w:val="both"/>
        <w:rPr>
          <w:noProof/>
          <w:sz w:val="28"/>
          <w:szCs w:val="28"/>
          <w:lang w:val="ru-RU"/>
        </w:rPr>
      </w:pPr>
      <w:r w:rsidRPr="004C0844">
        <w:rPr>
          <w:noProof/>
          <w:sz w:val="28"/>
          <w:szCs w:val="28"/>
          <w:lang w:val="ru-RU"/>
        </w:rPr>
        <w:t>В заключени</w:t>
      </w:r>
      <w:r w:rsidR="004E14E6">
        <w:rPr>
          <w:noProof/>
          <w:sz w:val="28"/>
          <w:szCs w:val="28"/>
          <w:lang w:val="ru-RU"/>
        </w:rPr>
        <w:t>и</w:t>
      </w:r>
      <w:r w:rsidRPr="004C0844">
        <w:rPr>
          <w:noProof/>
          <w:sz w:val="28"/>
          <w:szCs w:val="28"/>
          <w:lang w:val="ru-RU"/>
        </w:rPr>
        <w:t xml:space="preserve"> хотелось бы сказать, что использование коррекционной работы с наглядным дидактическим материалом позволяет добиться эффективности развития словесно-логического мышления старших дошкольников. Таким образом, гипотеза, выдвинутая нами в начеле исследования</w:t>
      </w:r>
      <w:r w:rsidR="004E14E6">
        <w:rPr>
          <w:noProof/>
          <w:sz w:val="28"/>
          <w:szCs w:val="28"/>
          <w:lang w:val="ru-RU"/>
        </w:rPr>
        <w:t>,</w:t>
      </w:r>
      <w:r w:rsidRPr="004C0844">
        <w:rPr>
          <w:noProof/>
          <w:sz w:val="28"/>
          <w:szCs w:val="28"/>
          <w:lang w:val="ru-RU"/>
        </w:rPr>
        <w:t xml:space="preserve"> потдверждена экспериментально.</w:t>
      </w:r>
    </w:p>
    <w:p w:rsidR="00CB6606" w:rsidRPr="00CB6606" w:rsidRDefault="00CB6606" w:rsidP="004C0844">
      <w:pPr>
        <w:pStyle w:val="Default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B6606">
        <w:rPr>
          <w:sz w:val="28"/>
          <w:szCs w:val="28"/>
          <w:lang w:val="ru-RU"/>
        </w:rPr>
        <w:t>Литература:</w:t>
      </w:r>
    </w:p>
    <w:p w:rsidR="00CB6606" w:rsidRDefault="00CB6606" w:rsidP="00643D5E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proofErr w:type="spellStart"/>
      <w:r w:rsidRPr="00CB6606">
        <w:rPr>
          <w:sz w:val="28"/>
          <w:szCs w:val="28"/>
          <w:lang w:val="ru-RU"/>
        </w:rPr>
        <w:t>Гейци</w:t>
      </w:r>
      <w:proofErr w:type="spellEnd"/>
      <w:r w:rsidRPr="00CB6606">
        <w:rPr>
          <w:sz w:val="28"/>
          <w:szCs w:val="28"/>
          <w:lang w:val="ru-RU"/>
        </w:rPr>
        <w:t xml:space="preserve"> Э.Д., Диагностика детей среднего и старшего дошкольного возраста. - Новосибирск, 2006. - 568 с</w:t>
      </w:r>
    </w:p>
    <w:p w:rsidR="00643D5E" w:rsidRPr="00643D5E" w:rsidRDefault="00643D5E" w:rsidP="00643D5E">
      <w:pPr>
        <w:pStyle w:val="Default"/>
        <w:numPr>
          <w:ilvl w:val="0"/>
          <w:numId w:val="2"/>
        </w:numPr>
        <w:spacing w:line="360" w:lineRule="auto"/>
        <w:jc w:val="both"/>
        <w:rPr>
          <w:sz w:val="32"/>
          <w:szCs w:val="28"/>
          <w:lang w:val="ru-RU"/>
        </w:rPr>
      </w:pPr>
      <w:r w:rsidRPr="00643D5E">
        <w:rPr>
          <w:lang w:val="ru-RU"/>
        </w:rPr>
        <w:t xml:space="preserve">. </w:t>
      </w:r>
      <w:r w:rsidRPr="00643D5E">
        <w:rPr>
          <w:sz w:val="28"/>
          <w:lang w:val="ru-RU"/>
        </w:rPr>
        <w:t xml:space="preserve">Диагностика умственного развития дошкольников / Под ред. Л.А. </w:t>
      </w:r>
      <w:proofErr w:type="spellStart"/>
      <w:r w:rsidRPr="00643D5E">
        <w:rPr>
          <w:sz w:val="28"/>
          <w:lang w:val="ru-RU"/>
        </w:rPr>
        <w:t>Венгер</w:t>
      </w:r>
      <w:proofErr w:type="spellEnd"/>
      <w:r w:rsidRPr="00643D5E">
        <w:rPr>
          <w:sz w:val="28"/>
          <w:lang w:val="ru-RU"/>
        </w:rPr>
        <w:t xml:space="preserve"> и В.В. </w:t>
      </w:r>
      <w:proofErr w:type="spellStart"/>
      <w:r w:rsidRPr="00643D5E">
        <w:rPr>
          <w:sz w:val="28"/>
          <w:lang w:val="ru-RU"/>
        </w:rPr>
        <w:t>Холмовской</w:t>
      </w:r>
      <w:proofErr w:type="spellEnd"/>
      <w:r w:rsidRPr="00643D5E">
        <w:rPr>
          <w:sz w:val="28"/>
          <w:lang w:val="ru-RU"/>
        </w:rPr>
        <w:t xml:space="preserve"> - М</w:t>
      </w:r>
      <w:proofErr w:type="gramStart"/>
      <w:r w:rsidRPr="00643D5E">
        <w:rPr>
          <w:sz w:val="28"/>
          <w:lang w:val="ru-RU"/>
        </w:rPr>
        <w:t xml:space="preserve"> .,</w:t>
      </w:r>
      <w:proofErr w:type="gramEnd"/>
      <w:r w:rsidRPr="00643D5E">
        <w:rPr>
          <w:sz w:val="28"/>
          <w:lang w:val="ru-RU"/>
        </w:rPr>
        <w:t xml:space="preserve"> 1978. - 223 с.</w:t>
      </w:r>
    </w:p>
    <w:p w:rsidR="000F3988" w:rsidRPr="000F3988" w:rsidRDefault="000F3988" w:rsidP="000F3988">
      <w:pPr>
        <w:pStyle w:val="Default"/>
        <w:spacing w:line="360" w:lineRule="auto"/>
        <w:ind w:firstLine="709"/>
        <w:jc w:val="right"/>
        <w:rPr>
          <w:sz w:val="28"/>
          <w:szCs w:val="28"/>
          <w:lang w:val="ru-RU"/>
        </w:rPr>
      </w:pPr>
    </w:p>
    <w:sectPr w:rsidR="000F3988" w:rsidRPr="000F3988" w:rsidSect="00F8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1946C"/>
    <w:multiLevelType w:val="hybridMultilevel"/>
    <w:tmpl w:val="D6C00F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CF5678B"/>
    <w:multiLevelType w:val="hybridMultilevel"/>
    <w:tmpl w:val="657CDF06"/>
    <w:lvl w:ilvl="0" w:tplc="0E9A8A2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00"/>
    <w:rsid w:val="00070CCF"/>
    <w:rsid w:val="000C3385"/>
    <w:rsid w:val="000D1358"/>
    <w:rsid w:val="000F3988"/>
    <w:rsid w:val="001E546E"/>
    <w:rsid w:val="00206E1C"/>
    <w:rsid w:val="00280ECB"/>
    <w:rsid w:val="00381F3D"/>
    <w:rsid w:val="004C0844"/>
    <w:rsid w:val="004E021A"/>
    <w:rsid w:val="004E14E6"/>
    <w:rsid w:val="00524800"/>
    <w:rsid w:val="005E64FC"/>
    <w:rsid w:val="00627793"/>
    <w:rsid w:val="00643D5E"/>
    <w:rsid w:val="006A29DC"/>
    <w:rsid w:val="00720A53"/>
    <w:rsid w:val="00751432"/>
    <w:rsid w:val="007A272E"/>
    <w:rsid w:val="007C58BE"/>
    <w:rsid w:val="00B34905"/>
    <w:rsid w:val="00B87DF9"/>
    <w:rsid w:val="00CB6606"/>
    <w:rsid w:val="00F23D87"/>
    <w:rsid w:val="00F8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1B3804B-E7C9-4CF8-80BA-618AD1F6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9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E0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E02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cp:lastModifiedBy>Timosha</cp:lastModifiedBy>
  <cp:revision>2</cp:revision>
  <dcterms:created xsi:type="dcterms:W3CDTF">2021-01-19T16:43:00Z</dcterms:created>
  <dcterms:modified xsi:type="dcterms:W3CDTF">2021-01-19T16:43:00Z</dcterms:modified>
</cp:coreProperties>
</file>