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2" w:rsidRPr="00CD101D" w:rsidRDefault="00B13A82" w:rsidP="00896A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01D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Система мониторинга достижения детьми планируемых результатов</w:t>
      </w:r>
    </w:p>
    <w:p w:rsidR="00B13A82" w:rsidRPr="00CD101D" w:rsidRDefault="00B13A82" w:rsidP="00896A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101D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освоения дополнительной общеобразовательной общеразвивающей программы «Кубик-рубик»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Проблема качества Российского образования в условиях современного экономического развития становится наиболее актуальной.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Основные  нормативные документы, регламентирующие процесс образования отражают требования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к: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1. </w:t>
      </w:r>
      <w:r w:rsidRPr="00896A81">
        <w:rPr>
          <w:rFonts w:ascii="Times New Roman" w:hAnsi="Times New Roman" w:cs="Times New Roman"/>
          <w:kern w:val="24"/>
          <w:sz w:val="28"/>
          <w:szCs w:val="28"/>
          <w:lang w:eastAsia="ru-RU"/>
        </w:rPr>
        <w:t>структуре дополнительных общеобразовательных программ;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2. условиям реализации общеобразовательных программ, в том числе кадровым, методическим, материально-техническим и иным условиям;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kern w:val="24"/>
          <w:sz w:val="28"/>
          <w:szCs w:val="28"/>
          <w:lang w:eastAsia="ru-RU"/>
        </w:rPr>
        <w:t>3. результатам освоения ДОП.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Государство усиливает внимание и контроль за качеством реализации образовательных программ и, как следствие, за разработку механизмов отслеживания образовательных результатов обучающихся.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В отличие от общего образования, </w:t>
      </w:r>
      <w:r w:rsidRPr="00896A81">
        <w:rPr>
          <w:rFonts w:ascii="Times New Roman" w:hAnsi="Times New Roman" w:cs="Times New Roman"/>
          <w:i/>
          <w:sz w:val="28"/>
          <w:szCs w:val="28"/>
        </w:rPr>
        <w:t>где процесс выявления результатов образовательной деятельности обучающихся четко отработан,</w:t>
      </w:r>
      <w:r w:rsidRPr="00896A81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нет единого механизма отслеживания образовательных результатов.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Проблема оценки качества реализации программ в дополнительном образовании связана с тем, что чаще всего, оцениваются образовательные результаты учащихся по внешним критериям: достижениям в конкурсах и соревнованиях, приобретённым навыкам.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Труднее всего поддаются оцениванию «внутренние» результаты: личностное развитие конкретного ребёнка </w:t>
      </w:r>
      <w:r w:rsidRPr="00896A81">
        <w:rPr>
          <w:rFonts w:ascii="Times New Roman" w:hAnsi="Times New Roman" w:cs="Times New Roman"/>
          <w:i/>
          <w:sz w:val="28"/>
          <w:szCs w:val="28"/>
        </w:rPr>
        <w:t xml:space="preserve">в процессе освоения им дополнительной общеобразовательной общеразвивающей программы, успешность её усвоения. </w:t>
      </w:r>
    </w:p>
    <w:p w:rsidR="00B13A82" w:rsidRPr="00896A81" w:rsidRDefault="00B13A82" w:rsidP="00896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При реализации Программы «Кубик-рубик»  может проводиться оценка индивидуального развития детей. Такая оценка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13A82" w:rsidRPr="00896A81" w:rsidRDefault="00B13A82" w:rsidP="00896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13A82" w:rsidRPr="00896A81" w:rsidRDefault="00B13A82" w:rsidP="00896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13A82" w:rsidRPr="00896A81" w:rsidRDefault="00B13A82" w:rsidP="00896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 на развитие ребенка. В связи с чем, мониторинг включает в себя 2 компонента: мониторинг образовательного процесса и мониторинг детского развития.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программы. С помощью мониторинга образовательного процесса оценивается степень продвижения дошкольника в усвоении 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6A81">
        <w:rPr>
          <w:rFonts w:ascii="Times New Roman" w:hAnsi="Times New Roman" w:cs="Times New Roman"/>
          <w:sz w:val="28"/>
          <w:szCs w:val="28"/>
        </w:rPr>
        <w:t>Проведение мониторинга предполагает: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>- наблюдение за активностью ребенка в процессе обучения;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>- анализ продуктов детской деятельности;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>- специальные педагогические пробы, организуемые педагогом.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Мониторинг детского развития включает в себя оценку физического развития и развития общих способностей: познавательных, коммуникативных и регуляторных. Его основная задача - выявить индивидуальные особенности развития каждого ребенка, определить его «зону ближайшего развития» и наметить при необходимости индивидуальный маршрут.</w:t>
      </w:r>
    </w:p>
    <w:p w:rsidR="00B13A82" w:rsidRPr="00551F6F" w:rsidRDefault="00B13A82" w:rsidP="0055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Мониторинг детского развития проводится на основе оценки развития инте</w:t>
      </w:r>
      <w:r>
        <w:rPr>
          <w:rFonts w:ascii="Times New Roman" w:hAnsi="Times New Roman" w:cs="Times New Roman"/>
          <w:sz w:val="28"/>
          <w:szCs w:val="28"/>
        </w:rPr>
        <w:t>гративных качеств ребенка. Это -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любознательный, активный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эмоционально отзывчивый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овладевший средствами общения и способами взаимодействия со взрослыми и сверстниками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способный управлять своим поведением и планировать свои действия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способный решать интеллектуальные и личностные задачи (проблемы), адекватные возрасту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имеющий первичные представления о себе, семье, общест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ве, государстве, мире и природе,</w:t>
      </w:r>
    </w:p>
    <w:p w:rsidR="00B13A82" w:rsidRPr="00C3303F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имеющий пред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п</w:t>
      </w: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осылки   к формированию способов УУД и коммуникативных навыков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умениями работать по правилу и по образцу, слушать взрослого и выполнять его инструкции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,</w:t>
      </w:r>
    </w:p>
    <w:p w:rsidR="00B13A82" w:rsidRPr="00896A81" w:rsidRDefault="00B13A82" w:rsidP="00896A81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6A81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овладевший необходимыми умениями и навыками</w:t>
      </w:r>
      <w:r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Мониторинг детского развития осуществляется с использованием метода наблюдения за ребенком и бесед с ним.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На основании проведенных оценок составляется индивидуальная карта развития каждого ребенка и выстраивается индивидуальная траектория его развития.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Эта работа проводится на протяжении всего учебного года.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Определяя систему отслеживания результатов образовательного процесса, как проблему педагогического контроля, мы особое внимание уделяем вопросам аттестации, как одной из форм отслеживании и оценке образовательных результатов учащихся.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Целью проведения аттестации является выявление соответствия уровня освоения учащимися программы прогнозируемым образовательным результатам.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81">
        <w:rPr>
          <w:rFonts w:ascii="Times New Roman" w:hAnsi="Times New Roman" w:cs="Times New Roman"/>
          <w:i/>
          <w:sz w:val="28"/>
          <w:szCs w:val="28"/>
        </w:rPr>
        <w:t xml:space="preserve">В образовательном процессе аттестация обучающихся выполняет целый ряд функций: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8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896A81">
        <w:rPr>
          <w:rFonts w:ascii="Times New Roman" w:hAnsi="Times New Roman" w:cs="Times New Roman"/>
          <w:i/>
          <w:sz w:val="28"/>
          <w:szCs w:val="28"/>
        </w:rPr>
        <w:t xml:space="preserve"> учебную, так как создает дополнительные условия для обобщения и осмысления учащимся полученных теоретических и практических знаний, умений и навыков;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8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A81">
        <w:rPr>
          <w:rFonts w:ascii="Times New Roman" w:hAnsi="Times New Roman" w:cs="Times New Roman"/>
          <w:i/>
          <w:sz w:val="28"/>
          <w:szCs w:val="28"/>
        </w:rPr>
        <w:t xml:space="preserve">воспитательную, так как является стимулом к расширению познавательных интересов и потребностей обучающихся;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8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896A81">
        <w:rPr>
          <w:rFonts w:ascii="Times New Roman" w:hAnsi="Times New Roman" w:cs="Times New Roman"/>
          <w:i/>
          <w:sz w:val="28"/>
          <w:szCs w:val="28"/>
        </w:rPr>
        <w:t xml:space="preserve"> развивающую, так как позволяет определить уровень их актуального развития и определить перспективы;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81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896A81">
        <w:rPr>
          <w:rFonts w:ascii="Times New Roman" w:hAnsi="Times New Roman" w:cs="Times New Roman"/>
          <w:i/>
          <w:sz w:val="28"/>
          <w:szCs w:val="28"/>
        </w:rPr>
        <w:t xml:space="preserve"> коррекционную, так как помогает педагогу своевременно выявить и устранить объективные и субъективные недостатки учебно-воспитательного процесса.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В программе отражается общая процедура аттестации, определяются сроки ее проведения, указываются возможные критерии, формы оценки, а также, фиксации и демонстрации образовательных результатов обучающихся, при выборе которых необходимо учитывать их соответствие целям, задачам, содержанию и ожидаемым результатам программы. Поэтому процедура аттестации учащихся разрабатывается каждым педагогом самостоятельно.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Критерии оценки результативности должны отражать: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96A81">
        <w:rPr>
          <w:rFonts w:ascii="Times New Roman" w:hAnsi="Times New Roman" w:cs="Times New Roman"/>
          <w:sz w:val="28"/>
          <w:szCs w:val="28"/>
        </w:rPr>
        <w:t xml:space="preserve"> уровень теоретических знаний программным требованиям (широту кругозора; свободу восприятия теоретической информации; развитость практических навыков работы со специальной литературой; осмысленность и свободу использования специальной терминологии);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 xml:space="preserve"> </w:t>
      </w:r>
      <w:r w:rsidRPr="00896A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96A81">
        <w:rPr>
          <w:rFonts w:ascii="Times New Roman" w:hAnsi="Times New Roman" w:cs="Times New Roman"/>
          <w:sz w:val="28"/>
          <w:szCs w:val="28"/>
        </w:rPr>
        <w:t xml:space="preserve"> уровень практической подготовки учащихся (соответствие уровня развития практических умений и навыков программным требованиям; уровень физического развития, свобода владения специальным оборудованием, оснащением; качество выполнения практического задания; технологичность практической деятельности);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 xml:space="preserve"> </w:t>
      </w:r>
      <w:r w:rsidRPr="00896A81">
        <w:rPr>
          <w:rFonts w:ascii="Times New Roman" w:hAnsi="Times New Roman" w:cs="Times New Roman"/>
          <w:sz w:val="28"/>
          <w:szCs w:val="28"/>
        </w:rPr>
        <w:sym w:font="Symbol" w:char="F02D"/>
      </w:r>
      <w:r w:rsidRPr="00896A81">
        <w:rPr>
          <w:rFonts w:ascii="Times New Roman" w:hAnsi="Times New Roman" w:cs="Times New Roman"/>
          <w:sz w:val="28"/>
          <w:szCs w:val="28"/>
        </w:rPr>
        <w:t xml:space="preserve"> уровень развития и воспитанности учащихся (культура организации практического задания; аккуратность и ответственность при работе; развитость специальных и личностных способностей и другие). </w:t>
      </w:r>
    </w:p>
    <w:p w:rsidR="00B13A82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В зависимости от направленности программы, содержания предмета изучения (образовательной области), возрастных особенностей,  формами проведения аттестации по программе Кубик-рубик являются: игра-викторина, игра-путешествие по станциям, творческая мастерская.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Традиционно в декабре проводится игра-викторина «Загадки и вопросы Дедушки Мороза»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Многообразие форм аттестации порождает многообразие методов оценки результатов. Существует несколько вариантов оценки результатов освоения программы обучающимися. Программа «Кубик-рубик» предусматривает уровневый метод оценки результатов.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В программе предусмотрена шкала оценки результатов:</w:t>
      </w:r>
    </w:p>
    <w:p w:rsidR="00B13A82" w:rsidRPr="00896A81" w:rsidRDefault="00B13A82" w:rsidP="00896A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bCs/>
          <w:i/>
          <w:iCs/>
          <w:sz w:val="28"/>
          <w:szCs w:val="28"/>
        </w:rPr>
        <w:t>Минимальный уровень</w:t>
      </w:r>
      <w:r w:rsidRPr="00896A81">
        <w:rPr>
          <w:rFonts w:ascii="Times New Roman" w:hAnsi="Times New Roman" w:cs="Times New Roman"/>
          <w:sz w:val="28"/>
          <w:szCs w:val="28"/>
        </w:rPr>
        <w:t xml:space="preserve"> - обучающийся не выполнил образовательную программу, не регулярно посещал занятия.</w:t>
      </w:r>
    </w:p>
    <w:p w:rsidR="00B13A82" w:rsidRPr="00896A81" w:rsidRDefault="00B13A82" w:rsidP="00896A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bCs/>
          <w:i/>
          <w:iCs/>
          <w:sz w:val="28"/>
          <w:szCs w:val="28"/>
        </w:rPr>
        <w:t>Базовый уровень</w:t>
      </w:r>
      <w:r w:rsidRPr="00896A81">
        <w:rPr>
          <w:rFonts w:ascii="Times New Roman" w:hAnsi="Times New Roman" w:cs="Times New Roman"/>
          <w:sz w:val="28"/>
          <w:szCs w:val="28"/>
        </w:rPr>
        <w:t xml:space="preserve"> - обучающийся стабильно занимается, регулярно посещает занятия, выполняет образовательную программу.</w:t>
      </w:r>
    </w:p>
    <w:p w:rsidR="00B13A82" w:rsidRPr="00896A81" w:rsidRDefault="00B13A82" w:rsidP="00896A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bCs/>
          <w:i/>
          <w:iCs/>
          <w:sz w:val="28"/>
          <w:szCs w:val="28"/>
        </w:rPr>
        <w:t>Высокий уровень</w:t>
      </w:r>
      <w:r w:rsidRPr="00896A81">
        <w:rPr>
          <w:rFonts w:ascii="Times New Roman" w:hAnsi="Times New Roman" w:cs="Times New Roman"/>
          <w:sz w:val="28"/>
          <w:szCs w:val="28"/>
        </w:rPr>
        <w:t xml:space="preserve"> - обучающийся проявляет устойчивый интерес к занятиям, показывает положительную динамику развития способностей, проявляет инициативу и творчество.</w:t>
      </w:r>
    </w:p>
    <w:p w:rsidR="00B13A82" w:rsidRPr="00896A81" w:rsidRDefault="00B13A82" w:rsidP="00E1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Данная система оценки качества и эффективности деятельности участников образовательного процесса позволяет сравнивать ожидаемый и конечный результат образовательной деятельности.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Формами фиксации и демонстрации образовательных результатов учащихся по программе Кубик-рубик» являются протоколы аттестации обучающихся.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В протоколе аттестации отмечаем только уровни оценки результатов, так как применительно к детям дошкольного возраста мы можем говорить о совокупности предпосылок </w:t>
      </w:r>
      <w:r w:rsidRPr="00896A81">
        <w:rPr>
          <w:rFonts w:ascii="Times New Roman" w:hAnsi="Times New Roman" w:cs="Times New Roman"/>
          <w:spacing w:val="-2"/>
          <w:sz w:val="28"/>
          <w:szCs w:val="28"/>
        </w:rPr>
        <w:t>к формированию УУД и коммуникативных навыков).</w:t>
      </w:r>
    </w:p>
    <w:p w:rsidR="00B13A82" w:rsidRPr="00896A81" w:rsidRDefault="00B13A82" w:rsidP="00896A81">
      <w:pPr>
        <w:spacing w:after="0" w:line="240" w:lineRule="auto"/>
        <w:jc w:val="both"/>
        <w:rPr>
          <w:rStyle w:val="30"/>
          <w:rFonts w:ascii="Times New Roman" w:hAnsi="Times New Roman" w:cs="Times New Roman"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896A81">
        <w:rPr>
          <w:rStyle w:val="30"/>
          <w:rFonts w:ascii="Times New Roman" w:hAnsi="Times New Roman" w:cs="Times New Roman"/>
          <w:b w:val="0"/>
          <w:bCs/>
          <w:sz w:val="28"/>
          <w:szCs w:val="28"/>
          <w:u w:val="none"/>
        </w:rPr>
        <w:t>при зачислении ребёнка на программу проводится мониторинг готовности.</w:t>
      </w:r>
      <w:r w:rsidRPr="00896A81">
        <w:rPr>
          <w:rStyle w:val="30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Целью его является выявление имеющихся знаний, практических навыков ребёнка на данном этапе развития, а также уровень его готовности к обучению по данной программе.</w:t>
      </w:r>
      <w:r w:rsidRPr="00896A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A82" w:rsidRPr="00896A81" w:rsidRDefault="00B13A82" w:rsidP="00896A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Формы мониторинга готовности: собеседование, задания на выявление имеющихся практических навыков. В программе прописаны компетенции, которыми должен владеть обучающийся по основным образовательным областям.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81">
        <w:rPr>
          <w:rFonts w:ascii="Times New Roman" w:hAnsi="Times New Roman" w:cs="Times New Roman"/>
          <w:sz w:val="28"/>
          <w:szCs w:val="28"/>
        </w:rPr>
        <w:t>(Образовательная область «Думай,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81">
        <w:rPr>
          <w:rFonts w:ascii="Times New Roman" w:hAnsi="Times New Roman" w:cs="Times New Roman"/>
          <w:sz w:val="28"/>
          <w:szCs w:val="28"/>
        </w:rPr>
        <w:t>рассуждай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A81">
        <w:rPr>
          <w:rFonts w:ascii="Times New Roman" w:hAnsi="Times New Roman" w:cs="Times New Roman"/>
          <w:sz w:val="28"/>
          <w:szCs w:val="28"/>
        </w:rPr>
        <w:t xml:space="preserve">Ступени грамоты»). </w:t>
      </w:r>
    </w:p>
    <w:p w:rsidR="00B13A82" w:rsidRPr="00896A81" w:rsidRDefault="00B13A82" w:rsidP="00896A81">
      <w:pPr>
        <w:pStyle w:val="21"/>
        <w:shd w:val="clear" w:color="auto" w:fill="auto"/>
        <w:tabs>
          <w:tab w:val="left" w:pos="1726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896A8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896A81">
        <w:rPr>
          <w:i/>
          <w:sz w:val="28"/>
          <w:szCs w:val="28"/>
        </w:rPr>
        <w:t>равильно произносить большую часть звуков;</w:t>
      </w:r>
    </w:p>
    <w:p w:rsidR="00B13A82" w:rsidRPr="00896A81" w:rsidRDefault="00B13A82" w:rsidP="00896A81">
      <w:pPr>
        <w:pStyle w:val="21"/>
        <w:shd w:val="clear" w:color="auto" w:fill="auto"/>
        <w:tabs>
          <w:tab w:val="left" w:pos="1726"/>
        </w:tabs>
        <w:spacing w:before="0" w:after="0" w:line="276" w:lineRule="auto"/>
        <w:ind w:firstLine="709"/>
        <w:rPr>
          <w:i/>
          <w:sz w:val="28"/>
          <w:szCs w:val="28"/>
        </w:rPr>
      </w:pPr>
      <w:r w:rsidRPr="00896A81">
        <w:rPr>
          <w:i/>
          <w:sz w:val="28"/>
          <w:szCs w:val="28"/>
        </w:rPr>
        <w:t>- знать и называть основные цвета;…..</w:t>
      </w:r>
    </w:p>
    <w:p w:rsidR="00B13A82" w:rsidRPr="00896A81" w:rsidRDefault="00B13A82" w:rsidP="00896A81">
      <w:pPr>
        <w:tabs>
          <w:tab w:val="left" w:pos="65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Результаты мониторинга готовности к освоению программы вносятся в таблицу </w:t>
      </w:r>
      <w:r w:rsidRPr="00896A81">
        <w:rPr>
          <w:rFonts w:ascii="Times New Roman" w:hAnsi="Times New Roman" w:cs="Times New Roman"/>
          <w:bCs/>
          <w:sz w:val="28"/>
          <w:szCs w:val="28"/>
        </w:rPr>
        <w:t xml:space="preserve">с помощью знаков «+» или «-», что означает, проявляется этот компонент или нет. </w:t>
      </w:r>
    </w:p>
    <w:p w:rsidR="00B13A82" w:rsidRPr="00896A81" w:rsidRDefault="00B13A82" w:rsidP="00896A81">
      <w:pPr>
        <w:tabs>
          <w:tab w:val="left" w:pos="65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Входной мониторинг даёт объективную информацию, позволяющую определить степень готовности ребёнка к обучению по данной программе.</w:t>
      </w:r>
    </w:p>
    <w:p w:rsidR="00B13A82" w:rsidRPr="00896A81" w:rsidRDefault="00B13A82" w:rsidP="00896A81">
      <w:pPr>
        <w:tabs>
          <w:tab w:val="left" w:pos="65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bCs/>
          <w:sz w:val="28"/>
          <w:szCs w:val="28"/>
        </w:rPr>
        <w:t>Результаты мониторинга помогают спланировать дальнейшую работу по возможной корректировке содержания программы, а также   мероприятия по разработке индивидуальных образовательных маршрутов, если ребёнок показал низкий уровень готовности.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Промежуточная аттестация проводится - 2 раза в год, что обеспечивает возможность оценки динамики достижений детей.</w:t>
      </w:r>
    </w:p>
    <w:p w:rsidR="00B13A82" w:rsidRPr="00896A81" w:rsidRDefault="00B13A82" w:rsidP="00896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Уровень освоения программного материала за 1 полугодие, а также учебный год определяется по результатам выполнения контрольных заданий.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Результаты вносятся в карту уровня освоения программного материала ребенком.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Результативность обучения, развития, воспитания фиксируется в таблице мониторинга образовательно-предметных и личностных результатов обучения дважды: в конце первого и второго полугодий (диагностика за I и II полугодие).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Результаты вносятся в протоколы аттестации.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81">
        <w:rPr>
          <w:rFonts w:ascii="Times New Roman" w:hAnsi="Times New Roman" w:cs="Times New Roman"/>
          <w:sz w:val="28"/>
          <w:szCs w:val="28"/>
        </w:rPr>
        <w:t xml:space="preserve">Каковы же критерии  оценки общих результатов обучения.  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 xml:space="preserve">В программе они представлены критериями оценки образовательно-предметных результатов, а также критериями оценки личностных результатов. </w:t>
      </w:r>
    </w:p>
    <w:p w:rsidR="00B13A82" w:rsidRPr="00896A81" w:rsidRDefault="00B13A82" w:rsidP="00896A8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6A81">
        <w:rPr>
          <w:rFonts w:ascii="Times New Roman CYR" w:hAnsi="Times New Roman CYR" w:cs="Times New Roman CYR"/>
          <w:b/>
          <w:bCs/>
          <w:sz w:val="28"/>
          <w:szCs w:val="28"/>
        </w:rPr>
        <w:t>ОЦЕНКА ОБЩИХ РЕЗУЛЬТАТОВ ОБУЧЕНИЯ</w:t>
      </w:r>
    </w:p>
    <w:tbl>
      <w:tblPr>
        <w:tblW w:w="9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3118"/>
        <w:gridCol w:w="3118"/>
      </w:tblGrid>
      <w:tr w:rsidR="00B13A82" w:rsidRPr="00896A81" w:rsidTr="00422DC4">
        <w:trPr>
          <w:trHeight w:val="340"/>
        </w:trPr>
        <w:tc>
          <w:tcPr>
            <w:tcW w:w="3118" w:type="dxa"/>
            <w:vAlign w:val="center"/>
          </w:tcPr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Минимальный уровень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3118" w:type="dxa"/>
            <w:vAlign w:val="center"/>
          </w:tcPr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Высокий уровень</w:t>
            </w:r>
          </w:p>
        </w:tc>
      </w:tr>
      <w:tr w:rsidR="00B13A82" w:rsidRPr="00896A81" w:rsidTr="00422DC4">
        <w:trPr>
          <w:trHeight w:val="340"/>
        </w:trPr>
        <w:tc>
          <w:tcPr>
            <w:tcW w:w="9354" w:type="dxa"/>
            <w:gridSpan w:val="3"/>
            <w:vAlign w:val="center"/>
          </w:tcPr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" w:firstLine="709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Оценка образовательно-предметных результатов</w:t>
            </w:r>
          </w:p>
        </w:tc>
      </w:tr>
      <w:tr w:rsidR="00B13A82" w:rsidRPr="00896A81" w:rsidTr="00422DC4">
        <w:tc>
          <w:tcPr>
            <w:tcW w:w="3118" w:type="dxa"/>
          </w:tcPr>
          <w:p w:rsidR="00B13A82" w:rsidRPr="00896A81" w:rsidRDefault="00B13A82" w:rsidP="00896A81">
            <w:pPr>
              <w:widowControl w:val="0"/>
              <w:tabs>
                <w:tab w:val="left" w:pos="3186"/>
                <w:tab w:val="left" w:pos="9333"/>
                <w:tab w:val="left" w:pos="9639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Обучающиеся в основном </w:t>
            </w:r>
          </w:p>
          <w:p w:rsidR="00B13A82" w:rsidRPr="00896A81" w:rsidRDefault="00B13A82" w:rsidP="00896A81">
            <w:pPr>
              <w:widowControl w:val="0"/>
              <w:tabs>
                <w:tab w:val="left" w:pos="3186"/>
                <w:tab w:val="left" w:pos="9333"/>
                <w:tab w:val="left" w:pos="9639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усвоили:</w:t>
            </w:r>
          </w:p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правила безопасного поведения на занятиях, на переменах;</w:t>
            </w:r>
          </w:p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понятия пространственного ориентирования; </w:t>
            </w:r>
          </w:p>
          <w:p w:rsidR="00B13A82" w:rsidRPr="00896A81" w:rsidRDefault="00B13A82" w:rsidP="00896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Обучащиеся могут </w:t>
            </w:r>
          </w:p>
          <w:p w:rsidR="00B13A82" w:rsidRPr="00896A81" w:rsidRDefault="00B13A82" w:rsidP="00896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с помощью педагога: 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ориентироваться на плоскости, в пространстве, во времени;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анализировать смысловое наполнение пословиц, стихов, связных текстов различной тематики;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3A82" w:rsidRPr="00896A81" w:rsidRDefault="00B13A82" w:rsidP="00896A81">
            <w:pPr>
              <w:widowControl w:val="0"/>
              <w:tabs>
                <w:tab w:val="left" w:pos="3186"/>
                <w:tab w:val="left" w:pos="9333"/>
                <w:tab w:val="left" w:pos="9639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Обучающиеся достаточно знают: </w:t>
            </w:r>
          </w:p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правила безопасного поведения на занятиях, на переменах;</w:t>
            </w:r>
          </w:p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понятия пространственного ориентирования; </w:t>
            </w:r>
          </w:p>
          <w:p w:rsidR="00B13A82" w:rsidRPr="00896A81" w:rsidRDefault="00B13A82" w:rsidP="00896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Обучащиеся могут уверенно: 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ориентироваться на плоскости, в пространстве, во времени;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анализировать смысловое наполнение пословиц, стихов, связных текстов различной тематики;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13A82" w:rsidRPr="00896A81" w:rsidRDefault="00B13A82" w:rsidP="00896A81">
            <w:pPr>
              <w:widowControl w:val="0"/>
              <w:tabs>
                <w:tab w:val="left" w:pos="3186"/>
                <w:tab w:val="left" w:pos="9333"/>
                <w:tab w:val="left" w:pos="9639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Обучающиеся полностью </w:t>
            </w:r>
          </w:p>
          <w:p w:rsidR="00B13A82" w:rsidRPr="00896A81" w:rsidRDefault="00B13A82" w:rsidP="00896A81">
            <w:pPr>
              <w:widowControl w:val="0"/>
              <w:tabs>
                <w:tab w:val="left" w:pos="3186"/>
                <w:tab w:val="left" w:pos="9333"/>
                <w:tab w:val="left" w:pos="9639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представляют:</w:t>
            </w:r>
          </w:p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 правила безопасного поведения на занятиях, на переменах;</w:t>
            </w:r>
          </w:p>
          <w:p w:rsidR="00B13A82" w:rsidRPr="00896A81" w:rsidRDefault="00B13A82" w:rsidP="00896A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- понятия пространственного ориентирования; </w:t>
            </w:r>
          </w:p>
          <w:p w:rsidR="00B13A82" w:rsidRPr="00896A81" w:rsidRDefault="00B13A82" w:rsidP="00896A81">
            <w:pPr>
              <w:widowControl w:val="0"/>
              <w:tabs>
                <w:tab w:val="left" w:pos="9333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Обучащиеся могут свободно: 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ориентироваться на плоскости, в пространстве, во времени;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анализировать смысловое наполнение пословиц, стихов, связных текстов различной тематики;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B13A82" w:rsidRPr="00896A81" w:rsidTr="00422DC4">
        <w:trPr>
          <w:trHeight w:val="397"/>
        </w:trPr>
        <w:tc>
          <w:tcPr>
            <w:tcW w:w="9354" w:type="dxa"/>
            <w:gridSpan w:val="3"/>
            <w:vAlign w:val="center"/>
          </w:tcPr>
          <w:p w:rsidR="00B13A82" w:rsidRPr="00896A81" w:rsidRDefault="00B13A82" w:rsidP="00896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Оценка личностных результатов</w:t>
            </w:r>
          </w:p>
        </w:tc>
      </w:tr>
      <w:tr w:rsidR="00B13A82" w:rsidRPr="00896A81" w:rsidTr="00422DC4">
        <w:trPr>
          <w:trHeight w:val="340"/>
        </w:trPr>
        <w:tc>
          <w:tcPr>
            <w:tcW w:w="3118" w:type="dxa"/>
          </w:tcPr>
          <w:p w:rsidR="00B13A82" w:rsidRPr="00896A81" w:rsidRDefault="00B13A82" w:rsidP="00896A81">
            <w:pPr>
              <w:widowControl w:val="0"/>
              <w:tabs>
                <w:tab w:val="left" w:pos="3186"/>
              </w:tabs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Недостаточно развиты: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любознательность, познавательная активность, творческая фантазия, изобретательность;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способы умственной деятельности как основы мыслительных операций (анализ, синтез, сравнение, обобщение, классификация, аналогия);</w:t>
            </w:r>
          </w:p>
        </w:tc>
        <w:tc>
          <w:tcPr>
            <w:tcW w:w="3118" w:type="dxa"/>
          </w:tcPr>
          <w:p w:rsidR="00B13A82" w:rsidRPr="00896A81" w:rsidRDefault="00B13A82" w:rsidP="00896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Достаточно развиты: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любознательность, познавательная активность, творческая фантазия, изобретательность;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способы умственной деятельности как основы мыслительных операций (анализ, синтез, сравнение, обобщение, классификация, аналогия);</w:t>
            </w:r>
          </w:p>
        </w:tc>
        <w:tc>
          <w:tcPr>
            <w:tcW w:w="3118" w:type="dxa"/>
          </w:tcPr>
          <w:p w:rsidR="00B13A82" w:rsidRPr="00896A81" w:rsidRDefault="00B13A82" w:rsidP="00896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38"/>
              <w:contextualSpacing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896A81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Уверенно развиты: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любознательность, познавательная активность, творческая фантазия, изобретательность;</w:t>
            </w:r>
          </w:p>
          <w:p w:rsidR="00B13A82" w:rsidRPr="00896A81" w:rsidRDefault="00B13A82" w:rsidP="00896A81">
            <w:pPr>
              <w:tabs>
                <w:tab w:val="left" w:pos="9356"/>
              </w:tabs>
              <w:spacing w:after="0" w:line="276" w:lineRule="auto"/>
              <w:ind w:right="-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A81">
              <w:rPr>
                <w:rFonts w:ascii="Times New Roman" w:hAnsi="Times New Roman"/>
                <w:sz w:val="28"/>
                <w:szCs w:val="28"/>
              </w:rPr>
              <w:t>- способы умственной деятельности как основы мыслительных операций (анализ, синтез, сравнение, обобщение, классификация, аналогия)</w:t>
            </w:r>
          </w:p>
        </w:tc>
      </w:tr>
    </w:tbl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Данная система оценки качества и эффективности деятельности участников образовательного процесса позволяет сравнивать ожидаемый и конечный результат образовательной деятельности.</w:t>
      </w:r>
    </w:p>
    <w:p w:rsidR="00B13A82" w:rsidRPr="00896A81" w:rsidRDefault="00B13A82" w:rsidP="00896A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A81">
        <w:rPr>
          <w:rFonts w:ascii="Times New Roman" w:hAnsi="Times New Roman" w:cs="Times New Roman"/>
          <w:sz w:val="28"/>
          <w:szCs w:val="28"/>
        </w:rPr>
        <w:t>Все результаты, полученные в ходе аттестации за год, вносятся в таблицу «Мониторинг динамики».</w:t>
      </w:r>
    </w:p>
    <w:p w:rsidR="00B13A82" w:rsidRPr="00896A81" w:rsidRDefault="00B13A82" w:rsidP="00896A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896A81">
        <w:rPr>
          <w:rFonts w:ascii="Times New Roman" w:hAnsi="Times New Roman" w:cs="Times New Roman"/>
          <w:sz w:val="28"/>
          <w:szCs w:val="28"/>
        </w:rPr>
        <w:t>Конечным результатом освоения программы должна стать готовность детей к школе, т.е. достижение необходимого и достаточного уровня развития ребенка для успешного освоения им основных общеобразовательных программ начального общего образования.</w:t>
      </w:r>
    </w:p>
    <w:sectPr w:rsidR="00B13A82" w:rsidRPr="00896A81" w:rsidSect="001C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EA9"/>
    <w:multiLevelType w:val="multilevel"/>
    <w:tmpl w:val="4BC663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27375CD"/>
    <w:multiLevelType w:val="multilevel"/>
    <w:tmpl w:val="0262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D099C"/>
    <w:multiLevelType w:val="hybridMultilevel"/>
    <w:tmpl w:val="1C5A2060"/>
    <w:lvl w:ilvl="0" w:tplc="50BA800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872254"/>
    <w:multiLevelType w:val="multilevel"/>
    <w:tmpl w:val="2E76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44B62"/>
    <w:multiLevelType w:val="multilevel"/>
    <w:tmpl w:val="8B000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1A250C"/>
    <w:multiLevelType w:val="multilevel"/>
    <w:tmpl w:val="D71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7D277E"/>
    <w:multiLevelType w:val="hybridMultilevel"/>
    <w:tmpl w:val="7D8E2B9A"/>
    <w:lvl w:ilvl="0" w:tplc="2B56D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02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47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01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F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A31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6A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43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C3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C458DA"/>
    <w:multiLevelType w:val="hybridMultilevel"/>
    <w:tmpl w:val="E2C8D96C"/>
    <w:lvl w:ilvl="0" w:tplc="A5E00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2C85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CC2C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A9A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F49B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86E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5C8F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E49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8248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ED1359"/>
    <w:multiLevelType w:val="hybridMultilevel"/>
    <w:tmpl w:val="F4C49E1C"/>
    <w:lvl w:ilvl="0" w:tplc="309E7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34C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427D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9457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43B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E05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C5A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0022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163E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811"/>
    <w:rsid w:val="0007573C"/>
    <w:rsid w:val="00094858"/>
    <w:rsid w:val="000948E4"/>
    <w:rsid w:val="000A0A6D"/>
    <w:rsid w:val="000C45EC"/>
    <w:rsid w:val="000E6122"/>
    <w:rsid w:val="00100835"/>
    <w:rsid w:val="00111C92"/>
    <w:rsid w:val="00141F8B"/>
    <w:rsid w:val="001433F9"/>
    <w:rsid w:val="00195092"/>
    <w:rsid w:val="001C1F34"/>
    <w:rsid w:val="001C254F"/>
    <w:rsid w:val="001C2B54"/>
    <w:rsid w:val="00217240"/>
    <w:rsid w:val="00244751"/>
    <w:rsid w:val="00277811"/>
    <w:rsid w:val="0028591B"/>
    <w:rsid w:val="00293C0C"/>
    <w:rsid w:val="002A1012"/>
    <w:rsid w:val="002B1520"/>
    <w:rsid w:val="002F26D5"/>
    <w:rsid w:val="002F51D1"/>
    <w:rsid w:val="00337A1A"/>
    <w:rsid w:val="003D77DC"/>
    <w:rsid w:val="003D7DF1"/>
    <w:rsid w:val="00422DC4"/>
    <w:rsid w:val="004344B9"/>
    <w:rsid w:val="004463EF"/>
    <w:rsid w:val="00447681"/>
    <w:rsid w:val="004B6B99"/>
    <w:rsid w:val="00545E74"/>
    <w:rsid w:val="00551F6F"/>
    <w:rsid w:val="005A695A"/>
    <w:rsid w:val="005D40BD"/>
    <w:rsid w:val="005D60C2"/>
    <w:rsid w:val="006104C0"/>
    <w:rsid w:val="00635722"/>
    <w:rsid w:val="00641717"/>
    <w:rsid w:val="006659D9"/>
    <w:rsid w:val="00674020"/>
    <w:rsid w:val="0067515F"/>
    <w:rsid w:val="006A20DB"/>
    <w:rsid w:val="00733EED"/>
    <w:rsid w:val="007741FA"/>
    <w:rsid w:val="007D1CB4"/>
    <w:rsid w:val="007D4C5E"/>
    <w:rsid w:val="008137AE"/>
    <w:rsid w:val="0086298E"/>
    <w:rsid w:val="00867DEE"/>
    <w:rsid w:val="00896139"/>
    <w:rsid w:val="00896A81"/>
    <w:rsid w:val="0090526A"/>
    <w:rsid w:val="009060DA"/>
    <w:rsid w:val="00906D32"/>
    <w:rsid w:val="00927691"/>
    <w:rsid w:val="009A1B92"/>
    <w:rsid w:val="00A74E55"/>
    <w:rsid w:val="00A86738"/>
    <w:rsid w:val="00AA2150"/>
    <w:rsid w:val="00AD0517"/>
    <w:rsid w:val="00AF5B1F"/>
    <w:rsid w:val="00B13A82"/>
    <w:rsid w:val="00B25016"/>
    <w:rsid w:val="00B26829"/>
    <w:rsid w:val="00B26D10"/>
    <w:rsid w:val="00B973C2"/>
    <w:rsid w:val="00BD52E9"/>
    <w:rsid w:val="00C175B0"/>
    <w:rsid w:val="00C20E99"/>
    <w:rsid w:val="00C3303F"/>
    <w:rsid w:val="00C551C1"/>
    <w:rsid w:val="00C64E96"/>
    <w:rsid w:val="00C80384"/>
    <w:rsid w:val="00CA7FC9"/>
    <w:rsid w:val="00CB1B01"/>
    <w:rsid w:val="00CC1375"/>
    <w:rsid w:val="00CD101D"/>
    <w:rsid w:val="00CF365B"/>
    <w:rsid w:val="00D23CC4"/>
    <w:rsid w:val="00DD115D"/>
    <w:rsid w:val="00DF6599"/>
    <w:rsid w:val="00DF7541"/>
    <w:rsid w:val="00E14597"/>
    <w:rsid w:val="00E207D2"/>
    <w:rsid w:val="00E52378"/>
    <w:rsid w:val="00E71C86"/>
    <w:rsid w:val="00E91D7A"/>
    <w:rsid w:val="00EB159D"/>
    <w:rsid w:val="00EC01BF"/>
    <w:rsid w:val="00EC04D4"/>
    <w:rsid w:val="00F17DA6"/>
    <w:rsid w:val="00F47312"/>
    <w:rsid w:val="00F73885"/>
    <w:rsid w:val="00F7610B"/>
    <w:rsid w:val="00F763C0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5F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17DA6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7DA6"/>
    <w:rPr>
      <w:sz w:val="24"/>
      <w:lang w:eastAsia="ar-SA" w:bidi="ar-SA"/>
    </w:rPr>
  </w:style>
  <w:style w:type="character" w:customStyle="1" w:styleId="2">
    <w:name w:val="Основной текст (2)_"/>
    <w:link w:val="20"/>
    <w:uiPriority w:val="99"/>
    <w:locked/>
    <w:rsid w:val="00F17DA6"/>
    <w:rPr>
      <w:i/>
      <w:spacing w:val="-10"/>
      <w:sz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17DA6"/>
    <w:pPr>
      <w:shd w:val="clear" w:color="auto" w:fill="FFFFFF"/>
      <w:spacing w:before="180" w:after="180" w:line="216" w:lineRule="exact"/>
      <w:ind w:hanging="640"/>
      <w:jc w:val="both"/>
    </w:pPr>
    <w:rPr>
      <w:rFonts w:cs="Times New Roman"/>
      <w:i/>
      <w:iCs/>
      <w:spacing w:val="-10"/>
      <w:sz w:val="21"/>
      <w:szCs w:val="21"/>
      <w:lang w:eastAsia="ru-RU"/>
    </w:rPr>
  </w:style>
  <w:style w:type="paragraph" w:styleId="NoSpacing">
    <w:name w:val="No Spacing"/>
    <w:uiPriority w:val="99"/>
    <w:qFormat/>
    <w:rsid w:val="007741FA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E5237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2378"/>
    <w:rPr>
      <w:sz w:val="22"/>
      <w:lang w:eastAsia="en-US"/>
    </w:rPr>
  </w:style>
  <w:style w:type="character" w:customStyle="1" w:styleId="ListParagraphChar">
    <w:name w:val="List Paragraph Char"/>
    <w:aliases w:val="мой Char"/>
    <w:link w:val="ListParagraph"/>
    <w:uiPriority w:val="99"/>
    <w:locked/>
    <w:rsid w:val="00E52378"/>
    <w:rPr>
      <w:rFonts w:ascii="Times New Roman" w:hAnsi="Times New Roman"/>
      <w:sz w:val="22"/>
    </w:rPr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E52378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1"/>
    <w:uiPriority w:val="99"/>
    <w:locked/>
    <w:rsid w:val="00E52378"/>
    <w:rPr>
      <w:b/>
      <w:sz w:val="26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E52378"/>
    <w:pPr>
      <w:shd w:val="clear" w:color="auto" w:fill="FFFFFF"/>
      <w:spacing w:before="1500" w:after="4080" w:line="322" w:lineRule="exact"/>
      <w:ind w:hanging="320"/>
    </w:pPr>
    <w:rPr>
      <w:rFonts w:cs="Times New Roman"/>
      <w:b/>
      <w:bCs/>
      <w:sz w:val="26"/>
      <w:szCs w:val="26"/>
      <w:lang w:eastAsia="ru-RU"/>
    </w:rPr>
  </w:style>
  <w:style w:type="paragraph" w:customStyle="1" w:styleId="21">
    <w:name w:val="Основной текст2"/>
    <w:basedOn w:val="Normal"/>
    <w:uiPriority w:val="99"/>
    <w:rsid w:val="00E52378"/>
    <w:pPr>
      <w:shd w:val="clear" w:color="auto" w:fill="FFFFFF"/>
      <w:spacing w:before="420" w:after="200" w:line="317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0">
    <w:name w:val="Основной текст (3)"/>
    <w:uiPriority w:val="99"/>
    <w:rsid w:val="00E52378"/>
    <w:rPr>
      <w:b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1656</TotalTime>
  <Pages>6</Pages>
  <Words>1851</Words>
  <Characters>10554</Characters>
  <Application>Microsoft Office Outlook</Application>
  <DocSecurity>0</DocSecurity>
  <Lines>0</Lines>
  <Paragraphs>0</Paragraphs>
  <ScaleCrop>false</ScaleCrop>
  <Company>ОЦТРГО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Алексей</cp:lastModifiedBy>
  <cp:revision>46</cp:revision>
  <dcterms:created xsi:type="dcterms:W3CDTF">2018-03-05T09:34:00Z</dcterms:created>
  <dcterms:modified xsi:type="dcterms:W3CDTF">2023-12-04T13:39:00Z</dcterms:modified>
</cp:coreProperties>
</file>